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56" w:rsidRDefault="000F5256"/>
    <w:p w:rsidR="00902B3B" w:rsidRDefault="000F5256" w:rsidP="002E1648">
      <w:pPr>
        <w:pStyle w:val="NoSpacing"/>
        <w:jc w:val="center"/>
        <w:rPr>
          <w:rFonts w:ascii="Calibri" w:hAnsi="Calibri" w:cs="Calibri"/>
          <w:b/>
          <w:bCs/>
          <w:sz w:val="24"/>
          <w:szCs w:val="24"/>
        </w:rPr>
      </w:pPr>
      <w:r>
        <w:rPr>
          <w:rFonts w:ascii="Calibri" w:hAnsi="Calibri" w:cs="Calibri"/>
          <w:b/>
          <w:bCs/>
          <w:sz w:val="24"/>
          <w:szCs w:val="24"/>
        </w:rPr>
        <w:t>POLICY FOR THE U</w:t>
      </w:r>
      <w:r w:rsidR="00902B3B">
        <w:rPr>
          <w:rFonts w:ascii="Calibri" w:hAnsi="Calibri" w:cs="Calibri"/>
          <w:b/>
          <w:bCs/>
          <w:sz w:val="24"/>
          <w:szCs w:val="24"/>
        </w:rPr>
        <w:t xml:space="preserve">SE OF PLASMA-LYTE 148 </w:t>
      </w:r>
      <w:r w:rsidR="004B69D6">
        <w:rPr>
          <w:rFonts w:ascii="Calibri" w:hAnsi="Calibri" w:cs="Calibri"/>
          <w:b/>
          <w:bCs/>
          <w:sz w:val="24"/>
          <w:szCs w:val="24"/>
        </w:rPr>
        <w:t xml:space="preserve">IN </w:t>
      </w:r>
      <w:r w:rsidR="002E1648">
        <w:rPr>
          <w:rFonts w:ascii="Calibri" w:hAnsi="Calibri" w:cs="Calibri"/>
          <w:b/>
          <w:bCs/>
          <w:sz w:val="24"/>
          <w:szCs w:val="24"/>
        </w:rPr>
        <w:t>PATIENTS</w:t>
      </w:r>
      <w:r w:rsidR="00902B3B">
        <w:rPr>
          <w:rFonts w:ascii="Calibri" w:hAnsi="Calibri" w:cs="Calibri"/>
          <w:b/>
          <w:bCs/>
          <w:sz w:val="24"/>
          <w:szCs w:val="24"/>
        </w:rPr>
        <w:t xml:space="preserve"> ADMITTED TO</w:t>
      </w:r>
    </w:p>
    <w:p w:rsidR="000F5256" w:rsidRPr="00902B3B" w:rsidRDefault="00902B3B" w:rsidP="00902B3B">
      <w:pPr>
        <w:pStyle w:val="NoSpacing"/>
        <w:jc w:val="center"/>
        <w:rPr>
          <w:rFonts w:ascii="Calibri" w:hAnsi="Calibri" w:cs="Calibri"/>
          <w:b/>
          <w:bCs/>
          <w:sz w:val="24"/>
          <w:szCs w:val="24"/>
        </w:rPr>
      </w:pPr>
      <w:r>
        <w:rPr>
          <w:rFonts w:ascii="Calibri" w:hAnsi="Calibri" w:cs="Calibri"/>
          <w:b/>
          <w:bCs/>
          <w:sz w:val="24"/>
          <w:szCs w:val="24"/>
        </w:rPr>
        <w:t xml:space="preserve"> INTENSIVE CARE UNIT </w:t>
      </w:r>
      <w:r w:rsidR="00E031C5">
        <w:rPr>
          <w:rFonts w:ascii="Calibri" w:hAnsi="Calibri" w:cs="Calibri"/>
          <w:b/>
          <w:bCs/>
          <w:sz w:val="24"/>
          <w:szCs w:val="24"/>
        </w:rPr>
        <w:t xml:space="preserve">AND THEATRES </w:t>
      </w:r>
      <w:r w:rsidR="000F5256">
        <w:rPr>
          <w:rFonts w:ascii="Calibri" w:hAnsi="Calibri" w:cs="Calibri"/>
          <w:b/>
          <w:bCs/>
          <w:sz w:val="24"/>
          <w:szCs w:val="24"/>
        </w:rPr>
        <w:t xml:space="preserve">AT NOBLES HOSPITAL </w:t>
      </w:r>
    </w:p>
    <w:p w:rsidR="000F5256" w:rsidRDefault="000F5256" w:rsidP="000F5256">
      <w:pPr>
        <w:pStyle w:val="NoSpacing"/>
        <w:rPr>
          <w:rFonts w:ascii="Calibri" w:hAnsi="Calibri" w:cs="Calibri"/>
          <w:sz w:val="24"/>
          <w:szCs w:val="24"/>
        </w:rPr>
      </w:pPr>
    </w:p>
    <w:tbl>
      <w:tblPr>
        <w:tblStyle w:val="TableGrid1"/>
        <w:tblW w:w="9781" w:type="dxa"/>
        <w:jc w:val="center"/>
        <w:tblCellMar>
          <w:left w:w="57" w:type="dxa"/>
          <w:right w:w="57" w:type="dxa"/>
        </w:tblCellMar>
        <w:tblLook w:val="04A0" w:firstRow="1" w:lastRow="0" w:firstColumn="1" w:lastColumn="0" w:noHBand="0" w:noVBand="1"/>
      </w:tblPr>
      <w:tblGrid>
        <w:gridCol w:w="3119"/>
        <w:gridCol w:w="4258"/>
        <w:gridCol w:w="2404"/>
      </w:tblGrid>
      <w:tr w:rsidR="000F5256" w:rsidTr="000F5256">
        <w:trPr>
          <w:jc w:val="center"/>
        </w:trPr>
        <w:tc>
          <w:tcPr>
            <w:tcW w:w="3119" w:type="dxa"/>
            <w:tcBorders>
              <w:top w:val="single" w:sz="2"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Author(s)</w:t>
            </w:r>
          </w:p>
        </w:tc>
        <w:tc>
          <w:tcPr>
            <w:tcW w:w="6662" w:type="dxa"/>
            <w:gridSpan w:val="2"/>
            <w:tcBorders>
              <w:top w:val="single" w:sz="2" w:space="0" w:color="auto"/>
              <w:left w:val="single" w:sz="4" w:space="0" w:color="auto"/>
              <w:bottom w:val="single" w:sz="4" w:space="0" w:color="auto"/>
              <w:right w:val="single" w:sz="2" w:space="0" w:color="auto"/>
            </w:tcBorders>
          </w:tcPr>
          <w:p w:rsidR="00D80F94" w:rsidRDefault="00287C87" w:rsidP="007D23A2">
            <w:pPr>
              <w:pStyle w:val="NoSpacing"/>
              <w:ind w:right="401"/>
              <w:rPr>
                <w:rFonts w:ascii="Calibri" w:hAnsi="Calibri" w:cs="Calibri"/>
              </w:rPr>
            </w:pPr>
            <w:r>
              <w:rPr>
                <w:rFonts w:ascii="Calibri" w:hAnsi="Calibri" w:cs="Calibri"/>
              </w:rPr>
              <w:t>Jessica Yuan (</w:t>
            </w:r>
            <w:r w:rsidR="00E031C5">
              <w:rPr>
                <w:rFonts w:ascii="Calibri" w:hAnsi="Calibri" w:cs="Calibri"/>
              </w:rPr>
              <w:t>Specialist Pharmacist- Critical Care and Surgery)</w:t>
            </w:r>
          </w:p>
          <w:p w:rsidR="00E031C5" w:rsidRDefault="00E031C5" w:rsidP="007D23A2">
            <w:pPr>
              <w:pStyle w:val="NoSpacing"/>
              <w:ind w:right="401"/>
              <w:rPr>
                <w:rFonts w:ascii="Calibri" w:hAnsi="Calibri" w:cs="Calibri"/>
              </w:rPr>
            </w:pPr>
            <w:r>
              <w:rPr>
                <w:rFonts w:ascii="Calibri" w:hAnsi="Calibri" w:cs="Calibri"/>
              </w:rPr>
              <w:t>Craig Rore (Sp</w:t>
            </w:r>
            <w:r w:rsidR="0053081E">
              <w:rPr>
                <w:rFonts w:ascii="Calibri" w:hAnsi="Calibri" w:cs="Calibri"/>
              </w:rPr>
              <w:t>ecialist Pharmacist- Medicines I</w:t>
            </w:r>
            <w:r>
              <w:rPr>
                <w:rFonts w:ascii="Calibri" w:hAnsi="Calibri" w:cs="Calibri"/>
              </w:rPr>
              <w:t>nformation)</w:t>
            </w:r>
          </w:p>
        </w:tc>
      </w:tr>
      <w:tr w:rsidR="000F5256" w:rsidTr="000F5256">
        <w:trPr>
          <w:jc w:val="center"/>
        </w:trPr>
        <w:tc>
          <w:tcPr>
            <w:tcW w:w="3119" w:type="dxa"/>
            <w:tcBorders>
              <w:top w:val="single" w:sz="4"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Version Number</w:t>
            </w:r>
          </w:p>
        </w:tc>
        <w:tc>
          <w:tcPr>
            <w:tcW w:w="6662" w:type="dxa"/>
            <w:gridSpan w:val="2"/>
            <w:tcBorders>
              <w:top w:val="single" w:sz="4" w:space="0" w:color="auto"/>
              <w:left w:val="single" w:sz="4" w:space="0" w:color="auto"/>
              <w:bottom w:val="single" w:sz="4" w:space="0" w:color="auto"/>
              <w:right w:val="single" w:sz="2" w:space="0" w:color="auto"/>
            </w:tcBorders>
          </w:tcPr>
          <w:p w:rsidR="000F5256" w:rsidRDefault="000F5256" w:rsidP="007D23A2">
            <w:pPr>
              <w:pStyle w:val="NoSpacing"/>
              <w:ind w:right="401"/>
              <w:rPr>
                <w:rFonts w:ascii="Calibri" w:hAnsi="Calibri" w:cs="Calibri"/>
              </w:rPr>
            </w:pPr>
            <w:r>
              <w:rPr>
                <w:rFonts w:ascii="Calibri" w:hAnsi="Calibri" w:cs="Calibri"/>
              </w:rPr>
              <w:t>1</w:t>
            </w:r>
          </w:p>
        </w:tc>
      </w:tr>
      <w:tr w:rsidR="000F5256" w:rsidTr="000F5256">
        <w:trPr>
          <w:jc w:val="center"/>
        </w:trPr>
        <w:tc>
          <w:tcPr>
            <w:tcW w:w="3119" w:type="dxa"/>
            <w:tcBorders>
              <w:top w:val="single" w:sz="4"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Document effective from</w:t>
            </w:r>
          </w:p>
        </w:tc>
        <w:tc>
          <w:tcPr>
            <w:tcW w:w="6662" w:type="dxa"/>
            <w:gridSpan w:val="2"/>
            <w:tcBorders>
              <w:top w:val="single" w:sz="4" w:space="0" w:color="auto"/>
              <w:left w:val="single" w:sz="4" w:space="0" w:color="auto"/>
              <w:bottom w:val="single" w:sz="4" w:space="0" w:color="auto"/>
              <w:right w:val="single" w:sz="2" w:space="0" w:color="auto"/>
            </w:tcBorders>
          </w:tcPr>
          <w:p w:rsidR="000F5256" w:rsidRDefault="000F5256" w:rsidP="007D23A2">
            <w:pPr>
              <w:pStyle w:val="NoSpacing"/>
              <w:ind w:right="401"/>
              <w:rPr>
                <w:rFonts w:ascii="Calibri" w:hAnsi="Calibri" w:cs="Calibri"/>
              </w:rPr>
            </w:pPr>
            <w:r>
              <w:rPr>
                <w:rFonts w:ascii="Calibri" w:hAnsi="Calibri" w:cs="Calibri"/>
              </w:rPr>
              <w:t>July 2023</w:t>
            </w:r>
          </w:p>
        </w:tc>
      </w:tr>
      <w:tr w:rsidR="000F5256" w:rsidTr="000F5256">
        <w:trPr>
          <w:jc w:val="center"/>
        </w:trPr>
        <w:tc>
          <w:tcPr>
            <w:tcW w:w="3119" w:type="dxa"/>
            <w:tcBorders>
              <w:top w:val="single" w:sz="4" w:space="0" w:color="auto"/>
              <w:left w:val="single" w:sz="2" w:space="0" w:color="auto"/>
              <w:bottom w:val="single" w:sz="2"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Next review due</w:t>
            </w:r>
          </w:p>
        </w:tc>
        <w:tc>
          <w:tcPr>
            <w:tcW w:w="6662" w:type="dxa"/>
            <w:gridSpan w:val="2"/>
            <w:tcBorders>
              <w:top w:val="single" w:sz="4" w:space="0" w:color="auto"/>
              <w:left w:val="single" w:sz="4" w:space="0" w:color="auto"/>
              <w:bottom w:val="single" w:sz="2" w:space="0" w:color="auto"/>
              <w:right w:val="single" w:sz="2" w:space="0" w:color="auto"/>
            </w:tcBorders>
          </w:tcPr>
          <w:p w:rsidR="000F5256" w:rsidRDefault="000F5256" w:rsidP="007D23A2">
            <w:pPr>
              <w:pStyle w:val="NoSpacing"/>
              <w:ind w:right="401"/>
              <w:rPr>
                <w:rFonts w:ascii="Calibri" w:hAnsi="Calibri" w:cs="Calibri"/>
                <w:b/>
                <w:bCs/>
              </w:rPr>
            </w:pPr>
            <w:r>
              <w:rPr>
                <w:rFonts w:ascii="Calibri" w:hAnsi="Calibri" w:cs="Calibri"/>
                <w:b/>
                <w:bCs/>
              </w:rPr>
              <w:t>July</w:t>
            </w:r>
            <w:r w:rsidRPr="00DD3625">
              <w:rPr>
                <w:rFonts w:ascii="Calibri" w:hAnsi="Calibri" w:cs="Calibri"/>
                <w:b/>
                <w:bCs/>
              </w:rPr>
              <w:t xml:space="preserve"> 202</w:t>
            </w:r>
            <w:r>
              <w:rPr>
                <w:rFonts w:ascii="Calibri" w:hAnsi="Calibri" w:cs="Calibri"/>
                <w:b/>
                <w:bCs/>
              </w:rPr>
              <w:t>4</w:t>
            </w:r>
          </w:p>
        </w:tc>
      </w:tr>
      <w:tr w:rsidR="000F5256" w:rsidTr="000F5256">
        <w:trPr>
          <w:jc w:val="center"/>
        </w:trPr>
        <w:tc>
          <w:tcPr>
            <w:tcW w:w="3119" w:type="dxa"/>
            <w:tcBorders>
              <w:top w:val="single" w:sz="2" w:space="0" w:color="auto"/>
              <w:left w:val="single" w:sz="2" w:space="0" w:color="FFFFFF" w:themeColor="background1"/>
              <w:bottom w:val="single" w:sz="4" w:space="0" w:color="auto"/>
              <w:right w:val="single" w:sz="2" w:space="0" w:color="FFFFFF" w:themeColor="background1"/>
            </w:tcBorders>
          </w:tcPr>
          <w:p w:rsidR="000F5256" w:rsidRDefault="000F5256" w:rsidP="007D23A2">
            <w:pPr>
              <w:pStyle w:val="NoSpacing"/>
              <w:ind w:right="401"/>
              <w:rPr>
                <w:rFonts w:ascii="Calibri" w:hAnsi="Calibri" w:cs="Calibri"/>
              </w:rPr>
            </w:pPr>
          </w:p>
        </w:tc>
        <w:tc>
          <w:tcPr>
            <w:tcW w:w="6662" w:type="dxa"/>
            <w:gridSpan w:val="2"/>
            <w:tcBorders>
              <w:top w:val="single" w:sz="2" w:space="0" w:color="auto"/>
              <w:left w:val="single" w:sz="2" w:space="0" w:color="FFFFFF" w:themeColor="background1"/>
              <w:bottom w:val="single" w:sz="4" w:space="0" w:color="auto"/>
              <w:right w:val="single" w:sz="2" w:space="0" w:color="FFFFFF" w:themeColor="background1"/>
            </w:tcBorders>
          </w:tcPr>
          <w:p w:rsidR="000F5256" w:rsidRDefault="000F5256" w:rsidP="007D23A2">
            <w:pPr>
              <w:pStyle w:val="NoSpacing"/>
              <w:ind w:right="401"/>
              <w:rPr>
                <w:rFonts w:ascii="Calibri" w:hAnsi="Calibri" w:cs="Calibri"/>
              </w:rPr>
            </w:pPr>
          </w:p>
          <w:p w:rsidR="000F5256" w:rsidRDefault="000F5256" w:rsidP="007D23A2">
            <w:pPr>
              <w:pStyle w:val="NoSpacing"/>
              <w:ind w:right="401"/>
              <w:rPr>
                <w:rFonts w:ascii="Calibri" w:hAnsi="Calibri" w:cs="Calibri"/>
              </w:rPr>
            </w:pPr>
          </w:p>
        </w:tc>
      </w:tr>
      <w:tr w:rsidR="000F5256" w:rsidTr="000F5256">
        <w:trPr>
          <w:jc w:val="center"/>
        </w:trPr>
        <w:tc>
          <w:tcPr>
            <w:tcW w:w="3119" w:type="dxa"/>
            <w:tcBorders>
              <w:top w:val="single" w:sz="2"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Intended audience</w:t>
            </w:r>
          </w:p>
        </w:tc>
        <w:tc>
          <w:tcPr>
            <w:tcW w:w="6662" w:type="dxa"/>
            <w:gridSpan w:val="2"/>
            <w:tcBorders>
              <w:top w:val="single" w:sz="2" w:space="0" w:color="auto"/>
              <w:left w:val="single" w:sz="4" w:space="0" w:color="auto"/>
              <w:bottom w:val="single" w:sz="4" w:space="0" w:color="auto"/>
              <w:right w:val="single" w:sz="2" w:space="0" w:color="auto"/>
            </w:tcBorders>
          </w:tcPr>
          <w:p w:rsidR="000F5256" w:rsidRDefault="000F5256" w:rsidP="007D23A2">
            <w:pPr>
              <w:pStyle w:val="NoSpacing"/>
              <w:ind w:right="401"/>
              <w:rPr>
                <w:rFonts w:ascii="Calibri" w:hAnsi="Calibri" w:cs="Calibri"/>
              </w:rPr>
            </w:pPr>
            <w:r>
              <w:rPr>
                <w:rFonts w:ascii="Calibri" w:hAnsi="Calibri" w:cs="Calibri"/>
              </w:rPr>
              <w:t xml:space="preserve">All </w:t>
            </w:r>
            <w:r w:rsidR="00902B3B">
              <w:rPr>
                <w:rFonts w:ascii="Calibri" w:hAnsi="Calibri" w:cs="Calibri"/>
              </w:rPr>
              <w:t xml:space="preserve">intensive care unit </w:t>
            </w:r>
            <w:r>
              <w:rPr>
                <w:rFonts w:ascii="Calibri" w:hAnsi="Calibri" w:cs="Calibri"/>
              </w:rPr>
              <w:t>clinical staff</w:t>
            </w:r>
            <w:r w:rsidR="00902B3B">
              <w:rPr>
                <w:rFonts w:ascii="Calibri" w:hAnsi="Calibri" w:cs="Calibri"/>
              </w:rPr>
              <w:t xml:space="preserve">, </w:t>
            </w:r>
            <w:r w:rsidR="00E031C5">
              <w:rPr>
                <w:rFonts w:ascii="Calibri" w:hAnsi="Calibri" w:cs="Calibri"/>
              </w:rPr>
              <w:t xml:space="preserve">all theatres clinical staff, all </w:t>
            </w:r>
            <w:r w:rsidR="00902B3B">
              <w:rPr>
                <w:rFonts w:ascii="Calibri" w:hAnsi="Calibri" w:cs="Calibri"/>
              </w:rPr>
              <w:t xml:space="preserve">pharmacy </w:t>
            </w:r>
            <w:r w:rsidR="00E031C5">
              <w:rPr>
                <w:rFonts w:ascii="Calibri" w:hAnsi="Calibri" w:cs="Calibri"/>
              </w:rPr>
              <w:t xml:space="preserve">clinical </w:t>
            </w:r>
            <w:r w:rsidR="00902B3B">
              <w:rPr>
                <w:rFonts w:ascii="Calibri" w:hAnsi="Calibri" w:cs="Calibri"/>
              </w:rPr>
              <w:t>staff</w:t>
            </w:r>
          </w:p>
        </w:tc>
      </w:tr>
      <w:tr w:rsidR="000F5256" w:rsidTr="000F5256">
        <w:trPr>
          <w:jc w:val="center"/>
        </w:trPr>
        <w:tc>
          <w:tcPr>
            <w:tcW w:w="3119" w:type="dxa"/>
            <w:tcBorders>
              <w:top w:val="single" w:sz="4"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Superseded documents</w:t>
            </w:r>
          </w:p>
        </w:tc>
        <w:tc>
          <w:tcPr>
            <w:tcW w:w="6662" w:type="dxa"/>
            <w:gridSpan w:val="2"/>
            <w:tcBorders>
              <w:top w:val="single" w:sz="4" w:space="0" w:color="auto"/>
              <w:left w:val="single" w:sz="4" w:space="0" w:color="auto"/>
              <w:bottom w:val="single" w:sz="4" w:space="0" w:color="auto"/>
              <w:right w:val="single" w:sz="2" w:space="0" w:color="auto"/>
            </w:tcBorders>
          </w:tcPr>
          <w:p w:rsidR="000F5256" w:rsidRDefault="000F5256" w:rsidP="007D23A2">
            <w:pPr>
              <w:pStyle w:val="NoSpacing"/>
              <w:ind w:right="401"/>
              <w:rPr>
                <w:rFonts w:ascii="Calibri" w:hAnsi="Calibri" w:cs="Calibri"/>
              </w:rPr>
            </w:pPr>
            <w:r>
              <w:rPr>
                <w:rFonts w:ascii="Calibri" w:hAnsi="Calibri" w:cs="Calibri"/>
              </w:rPr>
              <w:t>N/A</w:t>
            </w:r>
          </w:p>
        </w:tc>
      </w:tr>
      <w:tr w:rsidR="000F5256" w:rsidTr="000F5256">
        <w:trPr>
          <w:jc w:val="center"/>
        </w:trPr>
        <w:tc>
          <w:tcPr>
            <w:tcW w:w="3119" w:type="dxa"/>
            <w:tcBorders>
              <w:top w:val="single" w:sz="4" w:space="0" w:color="auto"/>
              <w:left w:val="single" w:sz="2" w:space="0" w:color="auto"/>
              <w:bottom w:val="single" w:sz="4"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Stakeholders consulted prior to ratification</w:t>
            </w:r>
          </w:p>
        </w:tc>
        <w:tc>
          <w:tcPr>
            <w:tcW w:w="6662" w:type="dxa"/>
            <w:gridSpan w:val="2"/>
            <w:tcBorders>
              <w:top w:val="single" w:sz="4" w:space="0" w:color="auto"/>
              <w:left w:val="single" w:sz="4" w:space="0" w:color="auto"/>
              <w:bottom w:val="single" w:sz="4" w:space="0" w:color="auto"/>
              <w:right w:val="single" w:sz="2" w:space="0" w:color="auto"/>
            </w:tcBorders>
          </w:tcPr>
          <w:p w:rsidR="000F5256" w:rsidRDefault="00582C91" w:rsidP="007D23A2">
            <w:pPr>
              <w:pStyle w:val="NoSpacing"/>
              <w:ind w:right="401"/>
              <w:rPr>
                <w:rFonts w:ascii="Calibri" w:hAnsi="Calibri" w:cs="Calibri"/>
              </w:rPr>
            </w:pPr>
            <w:r>
              <w:rPr>
                <w:rFonts w:ascii="Calibri" w:hAnsi="Calibri" w:cs="Calibri"/>
              </w:rPr>
              <w:t xml:space="preserve">Dr </w:t>
            </w:r>
            <w:proofErr w:type="spellStart"/>
            <w:r w:rsidRPr="00582C91">
              <w:rPr>
                <w:rFonts w:ascii="Calibri" w:hAnsi="Calibri" w:cs="Calibri"/>
              </w:rPr>
              <w:t>Sivakumar</w:t>
            </w:r>
            <w:proofErr w:type="spellEnd"/>
            <w:r>
              <w:rPr>
                <w:rFonts w:ascii="Calibri" w:hAnsi="Calibri" w:cs="Calibri"/>
              </w:rPr>
              <w:t xml:space="preserve"> </w:t>
            </w:r>
            <w:proofErr w:type="spellStart"/>
            <w:r w:rsidRPr="00582C91">
              <w:rPr>
                <w:rFonts w:ascii="Calibri" w:hAnsi="Calibri" w:cs="Calibri"/>
              </w:rPr>
              <w:t>Balasubramanian</w:t>
            </w:r>
            <w:proofErr w:type="spellEnd"/>
          </w:p>
          <w:p w:rsidR="00582C91" w:rsidRDefault="00582C91" w:rsidP="007D23A2">
            <w:pPr>
              <w:pStyle w:val="NoSpacing"/>
              <w:ind w:right="401"/>
              <w:rPr>
                <w:rFonts w:ascii="Calibri" w:hAnsi="Calibri" w:cs="Calibri"/>
              </w:rPr>
            </w:pPr>
            <w:r>
              <w:rPr>
                <w:rFonts w:ascii="Calibri" w:hAnsi="Calibri" w:cs="Calibri"/>
              </w:rPr>
              <w:t>Dr Peter Faber</w:t>
            </w:r>
          </w:p>
        </w:tc>
      </w:tr>
      <w:tr w:rsidR="000F5256" w:rsidTr="000F5256">
        <w:trPr>
          <w:jc w:val="center"/>
        </w:trPr>
        <w:tc>
          <w:tcPr>
            <w:tcW w:w="3119" w:type="dxa"/>
            <w:tcBorders>
              <w:top w:val="single" w:sz="4" w:space="0" w:color="auto"/>
              <w:left w:val="single" w:sz="2" w:space="0" w:color="auto"/>
              <w:bottom w:val="single" w:sz="2"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Ratified by</w:t>
            </w:r>
          </w:p>
        </w:tc>
        <w:tc>
          <w:tcPr>
            <w:tcW w:w="4258" w:type="dxa"/>
            <w:tcBorders>
              <w:top w:val="single" w:sz="4" w:space="0" w:color="auto"/>
              <w:left w:val="single" w:sz="4" w:space="0" w:color="auto"/>
              <w:bottom w:val="single" w:sz="2" w:space="0" w:color="auto"/>
              <w:right w:val="single" w:sz="4" w:space="0" w:color="auto"/>
            </w:tcBorders>
          </w:tcPr>
          <w:p w:rsidR="000F5256" w:rsidRDefault="00E031C5" w:rsidP="007D23A2">
            <w:pPr>
              <w:pStyle w:val="NoSpacing"/>
              <w:ind w:right="401"/>
              <w:rPr>
                <w:rFonts w:ascii="Calibri" w:hAnsi="Calibri" w:cs="Calibri"/>
              </w:rPr>
            </w:pPr>
            <w:r>
              <w:rPr>
                <w:rFonts w:ascii="Calibri" w:hAnsi="Calibri" w:cs="Calibri"/>
              </w:rPr>
              <w:t>IMOG</w:t>
            </w:r>
          </w:p>
        </w:tc>
        <w:tc>
          <w:tcPr>
            <w:tcW w:w="2404" w:type="dxa"/>
            <w:tcBorders>
              <w:top w:val="single" w:sz="4" w:space="0" w:color="auto"/>
              <w:left w:val="single" w:sz="4" w:space="0" w:color="auto"/>
              <w:bottom w:val="single" w:sz="2" w:space="0" w:color="auto"/>
              <w:right w:val="single" w:sz="2" w:space="0" w:color="auto"/>
            </w:tcBorders>
            <w:hideMark/>
          </w:tcPr>
          <w:p w:rsidR="000F5256" w:rsidRDefault="000F5256" w:rsidP="007D23A2">
            <w:pPr>
              <w:pStyle w:val="NoSpacing"/>
              <w:ind w:right="401"/>
              <w:rPr>
                <w:rFonts w:ascii="Calibri" w:hAnsi="Calibri" w:cs="Calibri"/>
              </w:rPr>
            </w:pPr>
            <w:r>
              <w:rPr>
                <w:rFonts w:ascii="Calibri" w:hAnsi="Calibri" w:cs="Calibri"/>
              </w:rPr>
              <w:t>Date</w:t>
            </w:r>
          </w:p>
        </w:tc>
      </w:tr>
      <w:tr w:rsidR="000F5256" w:rsidTr="000F5256">
        <w:trPr>
          <w:jc w:val="center"/>
        </w:trPr>
        <w:tc>
          <w:tcPr>
            <w:tcW w:w="3119" w:type="dxa"/>
            <w:tcBorders>
              <w:top w:val="single" w:sz="2" w:space="0" w:color="auto"/>
              <w:left w:val="single" w:sz="2" w:space="0" w:color="auto"/>
              <w:bottom w:val="single" w:sz="2"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Previous reviews</w:t>
            </w:r>
          </w:p>
        </w:tc>
        <w:tc>
          <w:tcPr>
            <w:tcW w:w="6662" w:type="dxa"/>
            <w:gridSpan w:val="2"/>
            <w:tcBorders>
              <w:top w:val="single" w:sz="2" w:space="0" w:color="auto"/>
              <w:left w:val="single" w:sz="4" w:space="0" w:color="auto"/>
              <w:bottom w:val="single" w:sz="2" w:space="0" w:color="auto"/>
              <w:right w:val="single" w:sz="2" w:space="0" w:color="auto"/>
            </w:tcBorders>
          </w:tcPr>
          <w:p w:rsidR="000F5256" w:rsidRDefault="004E300D" w:rsidP="007D23A2">
            <w:pPr>
              <w:pStyle w:val="NoSpacing"/>
              <w:ind w:right="401"/>
              <w:rPr>
                <w:rFonts w:ascii="Calibri" w:hAnsi="Calibri" w:cs="Calibri"/>
              </w:rPr>
            </w:pPr>
            <w:r>
              <w:rPr>
                <w:rFonts w:ascii="Calibri" w:hAnsi="Calibri" w:cs="Calibri"/>
              </w:rPr>
              <w:t>N/A</w:t>
            </w:r>
          </w:p>
        </w:tc>
      </w:tr>
      <w:tr w:rsidR="000F5256" w:rsidTr="000F5256">
        <w:trPr>
          <w:jc w:val="center"/>
        </w:trPr>
        <w:tc>
          <w:tcPr>
            <w:tcW w:w="3119" w:type="dxa"/>
            <w:tcBorders>
              <w:top w:val="single" w:sz="2" w:space="0" w:color="auto"/>
              <w:left w:val="single" w:sz="2" w:space="0" w:color="auto"/>
              <w:bottom w:val="single" w:sz="2" w:space="0" w:color="auto"/>
              <w:right w:val="single" w:sz="4" w:space="0" w:color="auto"/>
            </w:tcBorders>
            <w:hideMark/>
          </w:tcPr>
          <w:p w:rsidR="000F5256" w:rsidRDefault="000F5256" w:rsidP="007D23A2">
            <w:pPr>
              <w:pStyle w:val="NoSpacing"/>
              <w:ind w:right="401"/>
              <w:rPr>
                <w:rFonts w:ascii="Calibri" w:hAnsi="Calibri" w:cs="Calibri"/>
              </w:rPr>
            </w:pPr>
            <w:r>
              <w:rPr>
                <w:rFonts w:ascii="Calibri" w:hAnsi="Calibri" w:cs="Calibri"/>
              </w:rPr>
              <w:t>Changes made during latest review</w:t>
            </w:r>
          </w:p>
        </w:tc>
        <w:tc>
          <w:tcPr>
            <w:tcW w:w="6662" w:type="dxa"/>
            <w:gridSpan w:val="2"/>
            <w:tcBorders>
              <w:top w:val="single" w:sz="2" w:space="0" w:color="auto"/>
              <w:left w:val="single" w:sz="4" w:space="0" w:color="auto"/>
              <w:bottom w:val="single" w:sz="2" w:space="0" w:color="auto"/>
              <w:right w:val="single" w:sz="2" w:space="0" w:color="auto"/>
            </w:tcBorders>
          </w:tcPr>
          <w:p w:rsidR="000F5256" w:rsidRDefault="004E300D" w:rsidP="007D23A2">
            <w:pPr>
              <w:pStyle w:val="NoSpacing"/>
              <w:ind w:right="401"/>
              <w:rPr>
                <w:rFonts w:ascii="Calibri" w:hAnsi="Calibri" w:cs="Calibri"/>
              </w:rPr>
            </w:pPr>
            <w:r>
              <w:rPr>
                <w:rFonts w:ascii="Calibri" w:hAnsi="Calibri" w:cs="Calibri"/>
              </w:rPr>
              <w:t>N/A</w:t>
            </w:r>
          </w:p>
        </w:tc>
      </w:tr>
    </w:tbl>
    <w:p w:rsidR="000F5256" w:rsidRDefault="000F5256" w:rsidP="007D23A2">
      <w:pPr>
        <w:pStyle w:val="NoSpacing"/>
        <w:rPr>
          <w:rFonts w:ascii="Calibri" w:hAnsi="Calibri" w:cs="Calibri"/>
          <w:sz w:val="24"/>
          <w:szCs w:val="24"/>
        </w:rPr>
      </w:pPr>
    </w:p>
    <w:sdt>
      <w:sdtPr>
        <w:id w:val="1146245462"/>
        <w:docPartObj>
          <w:docPartGallery w:val="Table of Contents"/>
          <w:docPartUnique/>
        </w:docPartObj>
      </w:sdtPr>
      <w:sdtEndPr>
        <w:rPr>
          <w:rFonts w:asciiTheme="minorHAnsi" w:eastAsiaTheme="minorHAnsi" w:hAnsiTheme="minorHAnsi" w:cstheme="minorBidi"/>
          <w:b/>
          <w:bCs/>
          <w:noProof/>
          <w:color w:val="auto"/>
          <w:sz w:val="24"/>
          <w:szCs w:val="24"/>
          <w:lang w:val="en-GB"/>
        </w:rPr>
      </w:sdtEndPr>
      <w:sdtContent>
        <w:p w:rsidR="007D23A2" w:rsidRDefault="007D23A2">
          <w:pPr>
            <w:pStyle w:val="TOCHeading"/>
          </w:pPr>
          <w:r>
            <w:t>Contents</w:t>
          </w:r>
        </w:p>
        <w:p w:rsidR="0028726A" w:rsidRPr="0028726A" w:rsidRDefault="007D23A2" w:rsidP="0028726A">
          <w:pPr>
            <w:pStyle w:val="TOC1"/>
            <w:spacing w:after="0"/>
            <w:rPr>
              <w:rFonts w:eastAsiaTheme="minorEastAsia"/>
              <w:sz w:val="22"/>
              <w:szCs w:val="22"/>
              <w:lang w:eastAsia="en-GB"/>
            </w:rPr>
          </w:pPr>
          <w:r>
            <w:fldChar w:fldCharType="begin"/>
          </w:r>
          <w:r>
            <w:instrText xml:space="preserve"> TOC \o "1-3" \h \z \u </w:instrText>
          </w:r>
          <w:r>
            <w:fldChar w:fldCharType="separate"/>
          </w:r>
          <w:hyperlink w:anchor="_Toc151020784" w:history="1">
            <w:r w:rsidR="0028726A" w:rsidRPr="0028726A">
              <w:rPr>
                <w:rStyle w:val="Hyperlink"/>
              </w:rPr>
              <w:t>1</w:t>
            </w:r>
            <w:r w:rsidR="0028726A" w:rsidRPr="0028726A">
              <w:rPr>
                <w:rFonts w:eastAsiaTheme="minorEastAsia"/>
                <w:sz w:val="22"/>
                <w:szCs w:val="22"/>
                <w:lang w:eastAsia="en-GB"/>
              </w:rPr>
              <w:tab/>
            </w:r>
            <w:r w:rsidR="0028726A" w:rsidRPr="0028726A">
              <w:rPr>
                <w:rStyle w:val="Hyperlink"/>
              </w:rPr>
              <w:t>Introduction</w:t>
            </w:r>
            <w:r w:rsidR="0028726A" w:rsidRPr="0028726A">
              <w:rPr>
                <w:webHidden/>
              </w:rPr>
              <w:tab/>
            </w:r>
            <w:r w:rsidR="0028726A" w:rsidRPr="0028726A">
              <w:rPr>
                <w:webHidden/>
              </w:rPr>
              <w:fldChar w:fldCharType="begin"/>
            </w:r>
            <w:r w:rsidR="0028726A" w:rsidRPr="0028726A">
              <w:rPr>
                <w:webHidden/>
              </w:rPr>
              <w:instrText xml:space="preserve"> PAGEREF _Toc151020784 \h </w:instrText>
            </w:r>
            <w:r w:rsidR="0028726A" w:rsidRPr="0028726A">
              <w:rPr>
                <w:webHidden/>
              </w:rPr>
            </w:r>
            <w:r w:rsidR="0028726A" w:rsidRPr="0028726A">
              <w:rPr>
                <w:webHidden/>
              </w:rPr>
              <w:fldChar w:fldCharType="separate"/>
            </w:r>
            <w:r w:rsidR="00A43CFC">
              <w:rPr>
                <w:webHidden/>
              </w:rPr>
              <w:t>2</w:t>
            </w:r>
            <w:r w:rsidR="0028726A" w:rsidRPr="0028726A">
              <w:rPr>
                <w:webHidden/>
              </w:rPr>
              <w:fldChar w:fldCharType="end"/>
            </w:r>
          </w:hyperlink>
        </w:p>
        <w:p w:rsidR="0028726A" w:rsidRPr="0028726A" w:rsidRDefault="0028726A" w:rsidP="0028726A">
          <w:pPr>
            <w:pStyle w:val="TOC1"/>
            <w:spacing w:after="0"/>
            <w:rPr>
              <w:rFonts w:eastAsiaTheme="minorEastAsia"/>
              <w:sz w:val="22"/>
              <w:szCs w:val="22"/>
              <w:lang w:eastAsia="en-GB"/>
            </w:rPr>
          </w:pPr>
          <w:hyperlink w:anchor="_Toc151020785" w:history="1">
            <w:r w:rsidRPr="0028726A">
              <w:rPr>
                <w:rStyle w:val="Hyperlink"/>
              </w:rPr>
              <w:t>2</w:t>
            </w:r>
            <w:r w:rsidRPr="0028726A">
              <w:rPr>
                <w:rFonts w:eastAsiaTheme="minorEastAsia"/>
                <w:sz w:val="22"/>
                <w:szCs w:val="22"/>
                <w:lang w:eastAsia="en-GB"/>
              </w:rPr>
              <w:tab/>
            </w:r>
            <w:r w:rsidRPr="0028726A">
              <w:rPr>
                <w:rStyle w:val="Hyperlink"/>
              </w:rPr>
              <w:t>Purpose</w:t>
            </w:r>
            <w:r w:rsidRPr="0028726A">
              <w:rPr>
                <w:webHidden/>
              </w:rPr>
              <w:tab/>
            </w:r>
            <w:r w:rsidRPr="0028726A">
              <w:rPr>
                <w:webHidden/>
              </w:rPr>
              <w:fldChar w:fldCharType="begin"/>
            </w:r>
            <w:r w:rsidRPr="0028726A">
              <w:rPr>
                <w:webHidden/>
              </w:rPr>
              <w:instrText xml:space="preserve"> PAGEREF _Toc151020785 \h </w:instrText>
            </w:r>
            <w:r w:rsidRPr="0028726A">
              <w:rPr>
                <w:webHidden/>
              </w:rPr>
            </w:r>
            <w:r w:rsidRPr="0028726A">
              <w:rPr>
                <w:webHidden/>
              </w:rPr>
              <w:fldChar w:fldCharType="separate"/>
            </w:r>
            <w:r w:rsidR="00A43CFC">
              <w:rPr>
                <w:webHidden/>
              </w:rPr>
              <w:t>2</w:t>
            </w:r>
            <w:r w:rsidRPr="0028726A">
              <w:rPr>
                <w:webHidden/>
              </w:rPr>
              <w:fldChar w:fldCharType="end"/>
            </w:r>
          </w:hyperlink>
        </w:p>
        <w:p w:rsidR="0028726A" w:rsidRPr="0028726A" w:rsidRDefault="0028726A" w:rsidP="0028726A">
          <w:pPr>
            <w:pStyle w:val="TOC1"/>
            <w:spacing w:after="0"/>
            <w:rPr>
              <w:rFonts w:eastAsiaTheme="minorEastAsia"/>
              <w:sz w:val="22"/>
              <w:szCs w:val="22"/>
              <w:lang w:eastAsia="en-GB"/>
            </w:rPr>
          </w:pPr>
          <w:hyperlink w:anchor="_Toc151020786" w:history="1">
            <w:r w:rsidRPr="0028726A">
              <w:rPr>
                <w:rStyle w:val="Hyperlink"/>
              </w:rPr>
              <w:t>3</w:t>
            </w:r>
            <w:r w:rsidRPr="0028726A">
              <w:rPr>
                <w:rFonts w:eastAsiaTheme="minorEastAsia"/>
                <w:sz w:val="22"/>
                <w:szCs w:val="22"/>
                <w:lang w:eastAsia="en-GB"/>
              </w:rPr>
              <w:tab/>
            </w:r>
            <w:r w:rsidRPr="0028726A">
              <w:rPr>
                <w:rStyle w:val="Hyperlink"/>
              </w:rPr>
              <w:t>Scope</w:t>
            </w:r>
            <w:r w:rsidRPr="0028726A">
              <w:rPr>
                <w:webHidden/>
              </w:rPr>
              <w:tab/>
            </w:r>
            <w:r w:rsidRPr="0028726A">
              <w:rPr>
                <w:webHidden/>
              </w:rPr>
              <w:fldChar w:fldCharType="begin"/>
            </w:r>
            <w:r w:rsidRPr="0028726A">
              <w:rPr>
                <w:webHidden/>
              </w:rPr>
              <w:instrText xml:space="preserve"> PAGEREF _Toc151020786 \h </w:instrText>
            </w:r>
            <w:r w:rsidRPr="0028726A">
              <w:rPr>
                <w:webHidden/>
              </w:rPr>
            </w:r>
            <w:r w:rsidRPr="0028726A">
              <w:rPr>
                <w:webHidden/>
              </w:rPr>
              <w:fldChar w:fldCharType="separate"/>
            </w:r>
            <w:r w:rsidR="00A43CFC">
              <w:rPr>
                <w:webHidden/>
              </w:rPr>
              <w:t>2</w:t>
            </w:r>
            <w:r w:rsidRPr="0028726A">
              <w:rPr>
                <w:webHidden/>
              </w:rPr>
              <w:fldChar w:fldCharType="end"/>
            </w:r>
          </w:hyperlink>
        </w:p>
        <w:p w:rsidR="0028726A" w:rsidRPr="0028726A" w:rsidRDefault="0028726A" w:rsidP="0028726A">
          <w:pPr>
            <w:pStyle w:val="TOC1"/>
            <w:spacing w:after="0"/>
            <w:rPr>
              <w:rFonts w:eastAsiaTheme="minorEastAsia"/>
              <w:sz w:val="22"/>
              <w:szCs w:val="22"/>
              <w:lang w:eastAsia="en-GB"/>
            </w:rPr>
          </w:pPr>
          <w:hyperlink w:anchor="_Toc151020787" w:history="1">
            <w:r w:rsidRPr="0028726A">
              <w:rPr>
                <w:rStyle w:val="Hyperlink"/>
              </w:rPr>
              <w:t>4</w:t>
            </w:r>
            <w:r w:rsidRPr="0028726A">
              <w:rPr>
                <w:rFonts w:eastAsiaTheme="minorEastAsia"/>
                <w:sz w:val="22"/>
                <w:szCs w:val="22"/>
                <w:lang w:eastAsia="en-GB"/>
              </w:rPr>
              <w:tab/>
            </w:r>
            <w:r w:rsidRPr="0028726A">
              <w:rPr>
                <w:rStyle w:val="Hyperlink"/>
              </w:rPr>
              <w:t>Guideline</w:t>
            </w:r>
            <w:r w:rsidRPr="0028726A">
              <w:rPr>
                <w:webHidden/>
              </w:rPr>
              <w:tab/>
            </w:r>
            <w:r w:rsidRPr="0028726A">
              <w:rPr>
                <w:webHidden/>
              </w:rPr>
              <w:fldChar w:fldCharType="begin"/>
            </w:r>
            <w:r w:rsidRPr="0028726A">
              <w:rPr>
                <w:webHidden/>
              </w:rPr>
              <w:instrText xml:space="preserve"> PAGEREF _Toc151020787 \h </w:instrText>
            </w:r>
            <w:r w:rsidRPr="0028726A">
              <w:rPr>
                <w:webHidden/>
              </w:rPr>
            </w:r>
            <w:r w:rsidRPr="0028726A">
              <w:rPr>
                <w:webHidden/>
              </w:rPr>
              <w:fldChar w:fldCharType="separate"/>
            </w:r>
            <w:r w:rsidR="00A43CFC">
              <w:rPr>
                <w:webHidden/>
              </w:rPr>
              <w:t>2</w:t>
            </w:r>
            <w:r w:rsidRPr="0028726A">
              <w:rPr>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788" w:history="1">
            <w:r w:rsidRPr="0028726A">
              <w:rPr>
                <w:rStyle w:val="Hyperlink"/>
                <w:noProof/>
              </w:rPr>
              <w:t>4.1</w:t>
            </w:r>
            <w:r w:rsidRPr="0028726A">
              <w:rPr>
                <w:noProof/>
              </w:rPr>
              <w:tab/>
            </w:r>
            <w:r w:rsidRPr="0028726A">
              <w:rPr>
                <w:rStyle w:val="Hyperlink"/>
                <w:noProof/>
              </w:rPr>
              <w:t>Resuscitation</w:t>
            </w:r>
            <w:r w:rsidRPr="0028726A">
              <w:rPr>
                <w:noProof/>
                <w:webHidden/>
              </w:rPr>
              <w:tab/>
            </w:r>
            <w:r w:rsidRPr="0028726A">
              <w:rPr>
                <w:noProof/>
                <w:webHidden/>
              </w:rPr>
              <w:fldChar w:fldCharType="begin"/>
            </w:r>
            <w:r w:rsidRPr="0028726A">
              <w:rPr>
                <w:noProof/>
                <w:webHidden/>
              </w:rPr>
              <w:instrText xml:space="preserve"> PAGEREF _Toc151020788 \h </w:instrText>
            </w:r>
            <w:r w:rsidRPr="0028726A">
              <w:rPr>
                <w:noProof/>
                <w:webHidden/>
              </w:rPr>
            </w:r>
            <w:r w:rsidRPr="0028726A">
              <w:rPr>
                <w:noProof/>
                <w:webHidden/>
              </w:rPr>
              <w:fldChar w:fldCharType="separate"/>
            </w:r>
            <w:r w:rsidR="00A43CFC">
              <w:rPr>
                <w:noProof/>
                <w:webHidden/>
              </w:rPr>
              <w:t>3</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789" w:history="1">
            <w:r w:rsidRPr="0028726A">
              <w:rPr>
                <w:rStyle w:val="Hyperlink"/>
                <w:noProof/>
              </w:rPr>
              <w:t>4.2</w:t>
            </w:r>
            <w:r w:rsidRPr="0028726A">
              <w:rPr>
                <w:noProof/>
              </w:rPr>
              <w:tab/>
            </w:r>
            <w:r w:rsidRPr="0028726A">
              <w:rPr>
                <w:rStyle w:val="Hyperlink"/>
                <w:noProof/>
              </w:rPr>
              <w:t>Maintenance</w:t>
            </w:r>
            <w:r w:rsidRPr="0028726A">
              <w:rPr>
                <w:noProof/>
                <w:webHidden/>
              </w:rPr>
              <w:tab/>
            </w:r>
            <w:r w:rsidRPr="0028726A">
              <w:rPr>
                <w:noProof/>
                <w:webHidden/>
              </w:rPr>
              <w:fldChar w:fldCharType="begin"/>
            </w:r>
            <w:r w:rsidRPr="0028726A">
              <w:rPr>
                <w:noProof/>
                <w:webHidden/>
              </w:rPr>
              <w:instrText xml:space="preserve"> PAGEREF _Toc151020789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790" w:history="1">
            <w:r w:rsidRPr="0028726A">
              <w:rPr>
                <w:rStyle w:val="Hyperlink"/>
                <w:noProof/>
              </w:rPr>
              <w:t>4.3</w:t>
            </w:r>
            <w:r w:rsidRPr="0028726A">
              <w:rPr>
                <w:noProof/>
              </w:rPr>
              <w:tab/>
            </w:r>
            <w:r w:rsidRPr="0028726A">
              <w:rPr>
                <w:rStyle w:val="Hyperlink"/>
                <w:noProof/>
              </w:rPr>
              <w:t>Posology</w:t>
            </w:r>
            <w:r w:rsidRPr="0028726A">
              <w:rPr>
                <w:noProof/>
                <w:webHidden/>
              </w:rPr>
              <w:tab/>
            </w:r>
            <w:r w:rsidRPr="0028726A">
              <w:rPr>
                <w:noProof/>
                <w:webHidden/>
              </w:rPr>
              <w:fldChar w:fldCharType="begin"/>
            </w:r>
            <w:r w:rsidRPr="0028726A">
              <w:rPr>
                <w:noProof/>
                <w:webHidden/>
              </w:rPr>
              <w:instrText xml:space="preserve"> PAGEREF _Toc151020790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1" w:history="1">
            <w:r w:rsidRPr="0028726A">
              <w:rPr>
                <w:rStyle w:val="Hyperlink"/>
                <w:noProof/>
              </w:rPr>
              <w:t>4.3.1</w:t>
            </w:r>
            <w:r w:rsidRPr="0028726A">
              <w:rPr>
                <w:noProof/>
              </w:rPr>
              <w:tab/>
            </w:r>
            <w:r w:rsidRPr="0028726A">
              <w:rPr>
                <w:rStyle w:val="Hyperlink"/>
                <w:noProof/>
              </w:rPr>
              <w:t>Adults</w:t>
            </w:r>
            <w:r w:rsidRPr="0028726A">
              <w:rPr>
                <w:noProof/>
                <w:webHidden/>
              </w:rPr>
              <w:tab/>
            </w:r>
            <w:r w:rsidRPr="0028726A">
              <w:rPr>
                <w:noProof/>
                <w:webHidden/>
              </w:rPr>
              <w:fldChar w:fldCharType="begin"/>
            </w:r>
            <w:r w:rsidRPr="0028726A">
              <w:rPr>
                <w:noProof/>
                <w:webHidden/>
              </w:rPr>
              <w:instrText xml:space="preserve"> PAGEREF _Toc151020791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2" w:history="1">
            <w:r w:rsidRPr="0028726A">
              <w:rPr>
                <w:rStyle w:val="Hyperlink"/>
                <w:noProof/>
              </w:rPr>
              <w:t>4.3.2</w:t>
            </w:r>
            <w:r w:rsidRPr="0028726A">
              <w:rPr>
                <w:noProof/>
              </w:rPr>
              <w:tab/>
            </w:r>
            <w:r w:rsidRPr="0028726A">
              <w:rPr>
                <w:rStyle w:val="Hyperlink"/>
                <w:noProof/>
              </w:rPr>
              <w:t>Geriatric Patients</w:t>
            </w:r>
            <w:r w:rsidRPr="0028726A">
              <w:rPr>
                <w:noProof/>
                <w:webHidden/>
              </w:rPr>
              <w:tab/>
            </w:r>
            <w:r w:rsidRPr="0028726A">
              <w:rPr>
                <w:noProof/>
                <w:webHidden/>
              </w:rPr>
              <w:fldChar w:fldCharType="begin"/>
            </w:r>
            <w:r w:rsidRPr="0028726A">
              <w:rPr>
                <w:noProof/>
                <w:webHidden/>
              </w:rPr>
              <w:instrText xml:space="preserve"> PAGEREF _Toc151020792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3" w:history="1">
            <w:r w:rsidRPr="0028726A">
              <w:rPr>
                <w:rStyle w:val="Hyperlink"/>
                <w:noProof/>
              </w:rPr>
              <w:t>4.3.3</w:t>
            </w:r>
            <w:r w:rsidRPr="0028726A">
              <w:rPr>
                <w:noProof/>
              </w:rPr>
              <w:tab/>
            </w:r>
            <w:r w:rsidRPr="0028726A">
              <w:rPr>
                <w:rStyle w:val="Hyperlink"/>
                <w:noProof/>
              </w:rPr>
              <w:t>Administration rate</w:t>
            </w:r>
            <w:r w:rsidRPr="0028726A">
              <w:rPr>
                <w:noProof/>
                <w:webHidden/>
              </w:rPr>
              <w:tab/>
            </w:r>
            <w:r w:rsidRPr="0028726A">
              <w:rPr>
                <w:noProof/>
                <w:webHidden/>
              </w:rPr>
              <w:fldChar w:fldCharType="begin"/>
            </w:r>
            <w:r w:rsidRPr="0028726A">
              <w:rPr>
                <w:noProof/>
                <w:webHidden/>
              </w:rPr>
              <w:instrText xml:space="preserve"> PAGEREF _Toc151020793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794" w:history="1">
            <w:r w:rsidRPr="0028726A">
              <w:rPr>
                <w:rStyle w:val="Hyperlink"/>
                <w:noProof/>
              </w:rPr>
              <w:t>4.4</w:t>
            </w:r>
            <w:r w:rsidRPr="0028726A">
              <w:rPr>
                <w:noProof/>
              </w:rPr>
              <w:tab/>
            </w:r>
            <w:r w:rsidRPr="0028726A">
              <w:rPr>
                <w:rStyle w:val="Hyperlink"/>
                <w:noProof/>
              </w:rPr>
              <w:t>Method of administration</w:t>
            </w:r>
            <w:r w:rsidRPr="0028726A">
              <w:rPr>
                <w:noProof/>
                <w:webHidden/>
              </w:rPr>
              <w:tab/>
            </w:r>
            <w:r w:rsidRPr="0028726A">
              <w:rPr>
                <w:noProof/>
                <w:webHidden/>
              </w:rPr>
              <w:fldChar w:fldCharType="begin"/>
            </w:r>
            <w:r w:rsidRPr="0028726A">
              <w:rPr>
                <w:noProof/>
                <w:webHidden/>
              </w:rPr>
              <w:instrText xml:space="preserve"> PAGEREF _Toc151020794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5" w:history="1">
            <w:r w:rsidRPr="0028726A">
              <w:rPr>
                <w:rStyle w:val="Hyperlink"/>
                <w:noProof/>
              </w:rPr>
              <w:t>4.4.1</w:t>
            </w:r>
            <w:r w:rsidRPr="0028726A">
              <w:rPr>
                <w:noProof/>
              </w:rPr>
              <w:tab/>
            </w:r>
            <w:r w:rsidRPr="0028726A">
              <w:rPr>
                <w:rStyle w:val="Hyperlink"/>
                <w:noProof/>
              </w:rPr>
              <w:t>Preparation for administration</w:t>
            </w:r>
            <w:r w:rsidRPr="0028726A">
              <w:rPr>
                <w:noProof/>
                <w:webHidden/>
              </w:rPr>
              <w:tab/>
            </w:r>
            <w:r w:rsidRPr="0028726A">
              <w:rPr>
                <w:noProof/>
                <w:webHidden/>
              </w:rPr>
              <w:fldChar w:fldCharType="begin"/>
            </w:r>
            <w:r w:rsidRPr="0028726A">
              <w:rPr>
                <w:noProof/>
                <w:webHidden/>
              </w:rPr>
              <w:instrText xml:space="preserve"> PAGEREF _Toc151020795 \h </w:instrText>
            </w:r>
            <w:r w:rsidRPr="0028726A">
              <w:rPr>
                <w:noProof/>
                <w:webHidden/>
              </w:rPr>
            </w:r>
            <w:r w:rsidRPr="0028726A">
              <w:rPr>
                <w:noProof/>
                <w:webHidden/>
              </w:rPr>
              <w:fldChar w:fldCharType="separate"/>
            </w:r>
            <w:r w:rsidR="00A43CFC">
              <w:rPr>
                <w:noProof/>
                <w:webHidden/>
              </w:rPr>
              <w:t>4</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796" w:history="1">
            <w:r w:rsidRPr="0028726A">
              <w:rPr>
                <w:rStyle w:val="Hyperlink"/>
                <w:noProof/>
              </w:rPr>
              <w:t>4.5</w:t>
            </w:r>
            <w:r w:rsidRPr="0028726A">
              <w:rPr>
                <w:noProof/>
              </w:rPr>
              <w:tab/>
            </w:r>
            <w:r w:rsidRPr="0028726A">
              <w:rPr>
                <w:rStyle w:val="Hyperlink"/>
                <w:noProof/>
              </w:rPr>
              <w:t>Contraindications</w:t>
            </w:r>
            <w:r w:rsidRPr="0028726A">
              <w:rPr>
                <w:noProof/>
                <w:webHidden/>
              </w:rPr>
              <w:tab/>
            </w:r>
            <w:r w:rsidRPr="0028726A">
              <w:rPr>
                <w:noProof/>
                <w:webHidden/>
              </w:rPr>
              <w:fldChar w:fldCharType="begin"/>
            </w:r>
            <w:r w:rsidRPr="0028726A">
              <w:rPr>
                <w:noProof/>
                <w:webHidden/>
              </w:rPr>
              <w:instrText xml:space="preserve"> PAGEREF _Toc151020796 \h </w:instrText>
            </w:r>
            <w:r w:rsidRPr="0028726A">
              <w:rPr>
                <w:noProof/>
                <w:webHidden/>
              </w:rPr>
            </w:r>
            <w:r w:rsidRPr="0028726A">
              <w:rPr>
                <w:noProof/>
                <w:webHidden/>
              </w:rPr>
              <w:fldChar w:fldCharType="separate"/>
            </w:r>
            <w:r w:rsidR="00A43CFC">
              <w:rPr>
                <w:noProof/>
                <w:webHidden/>
              </w:rPr>
              <w:t>5</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7" w:history="1">
            <w:r w:rsidRPr="0028726A">
              <w:rPr>
                <w:rStyle w:val="Hyperlink"/>
                <w:noProof/>
              </w:rPr>
              <w:t>4.5.1</w:t>
            </w:r>
            <w:r w:rsidRPr="0028726A">
              <w:rPr>
                <w:noProof/>
              </w:rPr>
              <w:tab/>
            </w:r>
            <w:r w:rsidRPr="0028726A">
              <w:rPr>
                <w:rStyle w:val="Hyperlink"/>
                <w:noProof/>
              </w:rPr>
              <w:t>Absolute contraindication</w:t>
            </w:r>
            <w:r w:rsidRPr="0028726A">
              <w:rPr>
                <w:noProof/>
                <w:webHidden/>
              </w:rPr>
              <w:tab/>
            </w:r>
            <w:r w:rsidRPr="0028726A">
              <w:rPr>
                <w:noProof/>
                <w:webHidden/>
              </w:rPr>
              <w:fldChar w:fldCharType="begin"/>
            </w:r>
            <w:r w:rsidRPr="0028726A">
              <w:rPr>
                <w:noProof/>
                <w:webHidden/>
              </w:rPr>
              <w:instrText xml:space="preserve"> PAGEREF _Toc151020797 \h </w:instrText>
            </w:r>
            <w:r w:rsidRPr="0028726A">
              <w:rPr>
                <w:noProof/>
                <w:webHidden/>
              </w:rPr>
            </w:r>
            <w:r w:rsidRPr="0028726A">
              <w:rPr>
                <w:noProof/>
                <w:webHidden/>
              </w:rPr>
              <w:fldChar w:fldCharType="separate"/>
            </w:r>
            <w:r w:rsidR="00A43CFC">
              <w:rPr>
                <w:noProof/>
                <w:webHidden/>
              </w:rPr>
              <w:t>5</w:t>
            </w:r>
            <w:r w:rsidRPr="0028726A">
              <w:rPr>
                <w:noProof/>
                <w:webHidden/>
              </w:rPr>
              <w:fldChar w:fldCharType="end"/>
            </w:r>
          </w:hyperlink>
        </w:p>
        <w:p w:rsidR="0028726A" w:rsidRPr="0028726A" w:rsidRDefault="0028726A" w:rsidP="0028726A">
          <w:pPr>
            <w:pStyle w:val="TOC3"/>
            <w:tabs>
              <w:tab w:val="left" w:pos="1320"/>
              <w:tab w:val="right" w:leader="dot" w:pos="9016"/>
            </w:tabs>
            <w:spacing w:after="0"/>
            <w:rPr>
              <w:noProof/>
            </w:rPr>
          </w:pPr>
          <w:hyperlink w:anchor="_Toc151020798" w:history="1">
            <w:r w:rsidRPr="0028726A">
              <w:rPr>
                <w:rStyle w:val="Hyperlink"/>
                <w:noProof/>
              </w:rPr>
              <w:t>4.5.2</w:t>
            </w:r>
            <w:r w:rsidRPr="0028726A">
              <w:rPr>
                <w:noProof/>
              </w:rPr>
              <w:tab/>
            </w:r>
            <w:r w:rsidRPr="0028726A">
              <w:rPr>
                <w:rStyle w:val="Hyperlink"/>
                <w:noProof/>
              </w:rPr>
              <w:t>Relative contraindications</w:t>
            </w:r>
            <w:r w:rsidRPr="0028726A">
              <w:rPr>
                <w:noProof/>
                <w:webHidden/>
              </w:rPr>
              <w:tab/>
            </w:r>
            <w:r w:rsidRPr="0028726A">
              <w:rPr>
                <w:noProof/>
                <w:webHidden/>
              </w:rPr>
              <w:fldChar w:fldCharType="begin"/>
            </w:r>
            <w:r w:rsidRPr="0028726A">
              <w:rPr>
                <w:noProof/>
                <w:webHidden/>
              </w:rPr>
              <w:instrText xml:space="preserve"> PAGEREF _Toc151020798 \h </w:instrText>
            </w:r>
            <w:r w:rsidRPr="0028726A">
              <w:rPr>
                <w:noProof/>
                <w:webHidden/>
              </w:rPr>
            </w:r>
            <w:r w:rsidRPr="0028726A">
              <w:rPr>
                <w:noProof/>
                <w:webHidden/>
              </w:rPr>
              <w:fldChar w:fldCharType="separate"/>
            </w:r>
            <w:r w:rsidR="00A43CFC">
              <w:rPr>
                <w:noProof/>
                <w:webHidden/>
              </w:rPr>
              <w:t>5</w:t>
            </w:r>
            <w:r w:rsidRPr="0028726A">
              <w:rPr>
                <w:noProof/>
                <w:webHidden/>
              </w:rPr>
              <w:fldChar w:fldCharType="end"/>
            </w:r>
          </w:hyperlink>
        </w:p>
        <w:p w:rsidR="0028726A" w:rsidRPr="0028726A" w:rsidRDefault="0028726A" w:rsidP="0028726A">
          <w:pPr>
            <w:pStyle w:val="TOC3"/>
            <w:tabs>
              <w:tab w:val="left" w:pos="1100"/>
              <w:tab w:val="right" w:leader="dot" w:pos="9016"/>
            </w:tabs>
            <w:spacing w:after="0"/>
            <w:rPr>
              <w:noProof/>
            </w:rPr>
          </w:pPr>
          <w:hyperlink w:anchor="_Toc151020799" w:history="1">
            <w:r w:rsidRPr="0028726A">
              <w:rPr>
                <w:rStyle w:val="Hyperlink"/>
                <w:noProof/>
              </w:rPr>
              <w:t>4.6</w:t>
            </w:r>
            <w:r w:rsidRPr="0028726A">
              <w:rPr>
                <w:noProof/>
              </w:rPr>
              <w:tab/>
            </w:r>
            <w:r w:rsidRPr="0028726A">
              <w:rPr>
                <w:rStyle w:val="Hyperlink"/>
                <w:noProof/>
              </w:rPr>
              <w:t>Cautions</w:t>
            </w:r>
            <w:r w:rsidRPr="0028726A">
              <w:rPr>
                <w:noProof/>
                <w:webHidden/>
              </w:rPr>
              <w:tab/>
            </w:r>
            <w:r w:rsidRPr="0028726A">
              <w:rPr>
                <w:noProof/>
                <w:webHidden/>
              </w:rPr>
              <w:fldChar w:fldCharType="begin"/>
            </w:r>
            <w:r w:rsidRPr="0028726A">
              <w:rPr>
                <w:noProof/>
                <w:webHidden/>
              </w:rPr>
              <w:instrText xml:space="preserve"> PAGEREF _Toc151020799 \h </w:instrText>
            </w:r>
            <w:r w:rsidRPr="0028726A">
              <w:rPr>
                <w:noProof/>
                <w:webHidden/>
              </w:rPr>
            </w:r>
            <w:r w:rsidRPr="0028726A">
              <w:rPr>
                <w:noProof/>
                <w:webHidden/>
              </w:rPr>
              <w:fldChar w:fldCharType="separate"/>
            </w:r>
            <w:r w:rsidR="00A43CFC">
              <w:rPr>
                <w:noProof/>
                <w:webHidden/>
              </w:rPr>
              <w:t>6</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800" w:history="1">
            <w:r w:rsidRPr="0028726A">
              <w:rPr>
                <w:rStyle w:val="Hyperlink"/>
                <w:noProof/>
              </w:rPr>
              <w:t xml:space="preserve">4.7 </w:t>
            </w:r>
            <w:r w:rsidRPr="0028726A">
              <w:rPr>
                <w:noProof/>
              </w:rPr>
              <w:tab/>
            </w:r>
            <w:r w:rsidRPr="0028726A">
              <w:rPr>
                <w:rStyle w:val="Hyperlink"/>
                <w:noProof/>
              </w:rPr>
              <w:t>Adverse effects</w:t>
            </w:r>
            <w:r w:rsidRPr="0028726A">
              <w:rPr>
                <w:noProof/>
                <w:webHidden/>
              </w:rPr>
              <w:tab/>
            </w:r>
            <w:r w:rsidRPr="0028726A">
              <w:rPr>
                <w:noProof/>
                <w:webHidden/>
              </w:rPr>
              <w:fldChar w:fldCharType="begin"/>
            </w:r>
            <w:r w:rsidRPr="0028726A">
              <w:rPr>
                <w:noProof/>
                <w:webHidden/>
              </w:rPr>
              <w:instrText xml:space="preserve"> PAGEREF _Toc151020800 \h </w:instrText>
            </w:r>
            <w:r w:rsidRPr="0028726A">
              <w:rPr>
                <w:noProof/>
                <w:webHidden/>
              </w:rPr>
            </w:r>
            <w:r w:rsidRPr="0028726A">
              <w:rPr>
                <w:noProof/>
                <w:webHidden/>
              </w:rPr>
              <w:fldChar w:fldCharType="separate"/>
            </w:r>
            <w:r w:rsidR="00A43CFC">
              <w:rPr>
                <w:noProof/>
                <w:webHidden/>
              </w:rPr>
              <w:t>7</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801" w:history="1">
            <w:r w:rsidRPr="0028726A">
              <w:rPr>
                <w:rStyle w:val="Hyperlink"/>
                <w:noProof/>
              </w:rPr>
              <w:t>4.8</w:t>
            </w:r>
            <w:r w:rsidRPr="0028726A">
              <w:rPr>
                <w:noProof/>
              </w:rPr>
              <w:tab/>
            </w:r>
            <w:r w:rsidRPr="0028726A">
              <w:rPr>
                <w:rStyle w:val="Hyperlink"/>
                <w:noProof/>
              </w:rPr>
              <w:t>Monitoring</w:t>
            </w:r>
            <w:r w:rsidRPr="0028726A">
              <w:rPr>
                <w:noProof/>
                <w:webHidden/>
              </w:rPr>
              <w:tab/>
            </w:r>
            <w:r w:rsidRPr="0028726A">
              <w:rPr>
                <w:noProof/>
                <w:webHidden/>
              </w:rPr>
              <w:fldChar w:fldCharType="begin"/>
            </w:r>
            <w:r w:rsidRPr="0028726A">
              <w:rPr>
                <w:noProof/>
                <w:webHidden/>
              </w:rPr>
              <w:instrText xml:space="preserve"> PAGEREF _Toc151020801 \h </w:instrText>
            </w:r>
            <w:r w:rsidRPr="0028726A">
              <w:rPr>
                <w:noProof/>
                <w:webHidden/>
              </w:rPr>
            </w:r>
            <w:r w:rsidRPr="0028726A">
              <w:rPr>
                <w:noProof/>
                <w:webHidden/>
              </w:rPr>
              <w:fldChar w:fldCharType="separate"/>
            </w:r>
            <w:r w:rsidR="00A43CFC">
              <w:rPr>
                <w:noProof/>
                <w:webHidden/>
              </w:rPr>
              <w:t>7</w:t>
            </w:r>
            <w:r w:rsidRPr="0028726A">
              <w:rPr>
                <w:noProof/>
                <w:webHidden/>
              </w:rPr>
              <w:fldChar w:fldCharType="end"/>
            </w:r>
          </w:hyperlink>
        </w:p>
        <w:p w:rsidR="0028726A" w:rsidRPr="0028726A" w:rsidRDefault="0028726A" w:rsidP="0028726A">
          <w:pPr>
            <w:pStyle w:val="TOC2"/>
            <w:tabs>
              <w:tab w:val="right" w:leader="dot" w:pos="9016"/>
            </w:tabs>
            <w:spacing w:after="0"/>
            <w:rPr>
              <w:noProof/>
            </w:rPr>
          </w:pPr>
          <w:hyperlink w:anchor="_Toc151020802" w:history="1">
            <w:r w:rsidRPr="0028726A">
              <w:rPr>
                <w:rStyle w:val="Hyperlink"/>
                <w:noProof/>
              </w:rPr>
              <w:t>4.9       Com</w:t>
            </w:r>
            <w:r w:rsidRPr="0028726A">
              <w:rPr>
                <w:rStyle w:val="Hyperlink"/>
                <w:noProof/>
              </w:rPr>
              <w:t>p</w:t>
            </w:r>
            <w:r w:rsidRPr="0028726A">
              <w:rPr>
                <w:rStyle w:val="Hyperlink"/>
                <w:noProof/>
              </w:rPr>
              <w:t>atibility</w:t>
            </w:r>
            <w:r w:rsidRPr="0028726A">
              <w:rPr>
                <w:noProof/>
                <w:webHidden/>
              </w:rPr>
              <w:tab/>
            </w:r>
            <w:r w:rsidRPr="0028726A">
              <w:rPr>
                <w:noProof/>
                <w:webHidden/>
              </w:rPr>
              <w:fldChar w:fldCharType="begin"/>
            </w:r>
            <w:r w:rsidRPr="0028726A">
              <w:rPr>
                <w:noProof/>
                <w:webHidden/>
              </w:rPr>
              <w:instrText xml:space="preserve"> PAGEREF _Toc151020802 \h </w:instrText>
            </w:r>
            <w:r w:rsidRPr="0028726A">
              <w:rPr>
                <w:noProof/>
                <w:webHidden/>
              </w:rPr>
            </w:r>
            <w:r w:rsidRPr="0028726A">
              <w:rPr>
                <w:noProof/>
                <w:webHidden/>
              </w:rPr>
              <w:fldChar w:fldCharType="separate"/>
            </w:r>
            <w:r w:rsidR="00A43CFC">
              <w:rPr>
                <w:noProof/>
                <w:webHidden/>
              </w:rPr>
              <w:t>8</w:t>
            </w:r>
            <w:r w:rsidRPr="0028726A">
              <w:rPr>
                <w:noProof/>
                <w:webHidden/>
              </w:rPr>
              <w:fldChar w:fldCharType="end"/>
            </w:r>
          </w:hyperlink>
        </w:p>
        <w:p w:rsidR="0028726A" w:rsidRPr="0028726A" w:rsidRDefault="0028726A" w:rsidP="0028726A">
          <w:pPr>
            <w:pStyle w:val="TOC2"/>
            <w:tabs>
              <w:tab w:val="left" w:pos="880"/>
              <w:tab w:val="right" w:leader="dot" w:pos="9016"/>
            </w:tabs>
            <w:spacing w:after="0"/>
            <w:rPr>
              <w:noProof/>
            </w:rPr>
          </w:pPr>
          <w:hyperlink w:anchor="_Toc151020803" w:history="1">
            <w:r w:rsidRPr="0028726A">
              <w:rPr>
                <w:rStyle w:val="Hyperlink"/>
                <w:noProof/>
              </w:rPr>
              <w:t>4.10</w:t>
            </w:r>
            <w:r w:rsidRPr="0028726A">
              <w:rPr>
                <w:noProof/>
              </w:rPr>
              <w:tab/>
            </w:r>
            <w:r w:rsidRPr="0028726A">
              <w:rPr>
                <w:rStyle w:val="Hyperlink"/>
                <w:noProof/>
              </w:rPr>
              <w:t>Other information</w:t>
            </w:r>
            <w:r w:rsidRPr="0028726A">
              <w:rPr>
                <w:noProof/>
                <w:webHidden/>
              </w:rPr>
              <w:tab/>
            </w:r>
            <w:r w:rsidRPr="0028726A">
              <w:rPr>
                <w:noProof/>
                <w:webHidden/>
              </w:rPr>
              <w:fldChar w:fldCharType="begin"/>
            </w:r>
            <w:r w:rsidRPr="0028726A">
              <w:rPr>
                <w:noProof/>
                <w:webHidden/>
              </w:rPr>
              <w:instrText xml:space="preserve"> PAGEREF _Toc151020803 \h </w:instrText>
            </w:r>
            <w:r w:rsidRPr="0028726A">
              <w:rPr>
                <w:noProof/>
                <w:webHidden/>
              </w:rPr>
            </w:r>
            <w:r w:rsidRPr="0028726A">
              <w:rPr>
                <w:noProof/>
                <w:webHidden/>
              </w:rPr>
              <w:fldChar w:fldCharType="separate"/>
            </w:r>
            <w:r w:rsidR="00A43CFC">
              <w:rPr>
                <w:noProof/>
                <w:webHidden/>
              </w:rPr>
              <w:t>8</w:t>
            </w:r>
            <w:r w:rsidRPr="0028726A">
              <w:rPr>
                <w:noProof/>
                <w:webHidden/>
              </w:rPr>
              <w:fldChar w:fldCharType="end"/>
            </w:r>
          </w:hyperlink>
        </w:p>
        <w:p w:rsidR="0028726A" w:rsidRPr="0028726A" w:rsidRDefault="0028726A" w:rsidP="0028726A">
          <w:pPr>
            <w:pStyle w:val="TOC1"/>
            <w:spacing w:after="0"/>
            <w:rPr>
              <w:rFonts w:eastAsiaTheme="minorEastAsia"/>
              <w:sz w:val="22"/>
              <w:szCs w:val="22"/>
              <w:lang w:eastAsia="en-GB"/>
            </w:rPr>
          </w:pPr>
          <w:hyperlink w:anchor="_Toc151020804" w:history="1">
            <w:r w:rsidRPr="0028726A">
              <w:rPr>
                <w:rStyle w:val="Hyperlink"/>
              </w:rPr>
              <w:t>5.</w:t>
            </w:r>
            <w:r w:rsidRPr="0028726A">
              <w:rPr>
                <w:rFonts w:eastAsiaTheme="minorEastAsia"/>
                <w:sz w:val="22"/>
                <w:szCs w:val="22"/>
                <w:lang w:eastAsia="en-GB"/>
              </w:rPr>
              <w:tab/>
            </w:r>
            <w:r w:rsidRPr="0028726A">
              <w:rPr>
                <w:rStyle w:val="Hyperlink"/>
              </w:rPr>
              <w:t>References</w:t>
            </w:r>
            <w:r w:rsidRPr="0028726A">
              <w:rPr>
                <w:webHidden/>
              </w:rPr>
              <w:tab/>
            </w:r>
            <w:r w:rsidRPr="0028726A">
              <w:rPr>
                <w:webHidden/>
              </w:rPr>
              <w:fldChar w:fldCharType="begin"/>
            </w:r>
            <w:r w:rsidRPr="0028726A">
              <w:rPr>
                <w:webHidden/>
              </w:rPr>
              <w:instrText xml:space="preserve"> PAGEREF _Toc151020804 \h </w:instrText>
            </w:r>
            <w:r w:rsidRPr="0028726A">
              <w:rPr>
                <w:webHidden/>
              </w:rPr>
            </w:r>
            <w:r w:rsidRPr="0028726A">
              <w:rPr>
                <w:webHidden/>
              </w:rPr>
              <w:fldChar w:fldCharType="separate"/>
            </w:r>
            <w:r w:rsidR="00A43CFC">
              <w:rPr>
                <w:webHidden/>
              </w:rPr>
              <w:t>8</w:t>
            </w:r>
            <w:r w:rsidRPr="0028726A">
              <w:rPr>
                <w:webHidden/>
              </w:rPr>
              <w:fldChar w:fldCharType="end"/>
            </w:r>
          </w:hyperlink>
        </w:p>
        <w:p w:rsidR="0028726A" w:rsidRPr="0028726A" w:rsidRDefault="0028726A" w:rsidP="0028726A">
          <w:pPr>
            <w:pStyle w:val="TOC1"/>
            <w:spacing w:after="0"/>
            <w:rPr>
              <w:rFonts w:eastAsiaTheme="minorEastAsia"/>
              <w:sz w:val="22"/>
              <w:szCs w:val="22"/>
              <w:lang w:eastAsia="en-GB"/>
            </w:rPr>
          </w:pPr>
          <w:hyperlink w:anchor="_Toc151020805" w:history="1">
            <w:r w:rsidRPr="0028726A">
              <w:rPr>
                <w:rStyle w:val="Hyperlink"/>
              </w:rPr>
              <w:t>6</w:t>
            </w:r>
            <w:r w:rsidRPr="0028726A">
              <w:rPr>
                <w:rFonts w:eastAsiaTheme="minorEastAsia"/>
                <w:sz w:val="22"/>
                <w:szCs w:val="22"/>
                <w:lang w:eastAsia="en-GB"/>
              </w:rPr>
              <w:tab/>
            </w:r>
            <w:r w:rsidRPr="0028726A">
              <w:rPr>
                <w:rStyle w:val="Hyperlink"/>
              </w:rPr>
              <w:t>Appendices</w:t>
            </w:r>
            <w:r w:rsidRPr="0028726A">
              <w:rPr>
                <w:webHidden/>
              </w:rPr>
              <w:tab/>
            </w:r>
            <w:r w:rsidRPr="0028726A">
              <w:rPr>
                <w:webHidden/>
              </w:rPr>
              <w:fldChar w:fldCharType="begin"/>
            </w:r>
            <w:r w:rsidRPr="0028726A">
              <w:rPr>
                <w:webHidden/>
              </w:rPr>
              <w:instrText xml:space="preserve"> PAGEREF _Toc151020805 \h </w:instrText>
            </w:r>
            <w:r w:rsidRPr="0028726A">
              <w:rPr>
                <w:webHidden/>
              </w:rPr>
            </w:r>
            <w:r w:rsidRPr="0028726A">
              <w:rPr>
                <w:webHidden/>
              </w:rPr>
              <w:fldChar w:fldCharType="separate"/>
            </w:r>
            <w:r w:rsidR="00A43CFC">
              <w:rPr>
                <w:webHidden/>
              </w:rPr>
              <w:t>8</w:t>
            </w:r>
            <w:r w:rsidRPr="0028726A">
              <w:rPr>
                <w:webHidden/>
              </w:rPr>
              <w:fldChar w:fldCharType="end"/>
            </w:r>
          </w:hyperlink>
        </w:p>
        <w:p w:rsidR="007D23A2" w:rsidRDefault="007D23A2">
          <w:r>
            <w:rPr>
              <w:b/>
              <w:bCs/>
              <w:noProof/>
            </w:rPr>
            <w:fldChar w:fldCharType="end"/>
          </w:r>
        </w:p>
      </w:sdtContent>
    </w:sdt>
    <w:p w:rsidR="000F5256" w:rsidRPr="007D23A2" w:rsidRDefault="000F5256" w:rsidP="007D23A2">
      <w:pPr>
        <w:pStyle w:val="NoSpacing"/>
        <w:rPr>
          <w:rFonts w:cstheme="minorHAnsi"/>
          <w:sz w:val="24"/>
          <w:szCs w:val="24"/>
        </w:rPr>
      </w:pPr>
    </w:p>
    <w:p w:rsidR="000F5256" w:rsidRPr="007D23A2" w:rsidRDefault="007D23A2" w:rsidP="0028726A">
      <w:pPr>
        <w:pStyle w:val="Heading1"/>
        <w:spacing w:before="0"/>
        <w:ind w:left="709" w:hanging="709"/>
        <w:rPr>
          <w:rFonts w:asciiTheme="minorHAnsi" w:hAnsiTheme="minorHAnsi" w:cstheme="minorHAnsi"/>
          <w:b/>
          <w:color w:val="auto"/>
          <w:sz w:val="24"/>
          <w:szCs w:val="24"/>
        </w:rPr>
      </w:pPr>
      <w:bookmarkStart w:id="0" w:name="_Toc151020784"/>
      <w:r w:rsidRPr="007D23A2">
        <w:rPr>
          <w:rFonts w:asciiTheme="minorHAnsi" w:hAnsiTheme="minorHAnsi" w:cstheme="minorHAnsi"/>
          <w:b/>
          <w:color w:val="auto"/>
          <w:sz w:val="24"/>
          <w:szCs w:val="24"/>
        </w:rPr>
        <w:lastRenderedPageBreak/>
        <w:t>1</w:t>
      </w:r>
      <w:r w:rsidRPr="007D23A2">
        <w:rPr>
          <w:rFonts w:asciiTheme="minorHAnsi" w:hAnsiTheme="minorHAnsi" w:cstheme="minorHAnsi"/>
          <w:b/>
          <w:color w:val="auto"/>
          <w:sz w:val="24"/>
          <w:szCs w:val="24"/>
        </w:rPr>
        <w:tab/>
      </w:r>
      <w:r w:rsidR="004B69D6" w:rsidRPr="007D23A2">
        <w:rPr>
          <w:rFonts w:asciiTheme="minorHAnsi" w:hAnsiTheme="minorHAnsi" w:cstheme="minorHAnsi"/>
          <w:b/>
          <w:color w:val="auto"/>
          <w:sz w:val="24"/>
          <w:szCs w:val="24"/>
        </w:rPr>
        <w:t>Introduction</w:t>
      </w:r>
      <w:bookmarkEnd w:id="0"/>
    </w:p>
    <w:p w:rsidR="000F5256" w:rsidRPr="007D23A2" w:rsidRDefault="000F5256" w:rsidP="0028726A">
      <w:pPr>
        <w:pStyle w:val="NoSpacing"/>
        <w:ind w:left="709" w:hanging="709"/>
        <w:rPr>
          <w:rFonts w:cstheme="minorHAnsi"/>
          <w:sz w:val="24"/>
          <w:szCs w:val="24"/>
        </w:rPr>
      </w:pPr>
    </w:p>
    <w:p w:rsidR="004E300D" w:rsidRPr="007D23A2" w:rsidRDefault="004E300D" w:rsidP="0028726A">
      <w:pPr>
        <w:pStyle w:val="NoSpacing"/>
        <w:ind w:left="709"/>
        <w:rPr>
          <w:rFonts w:cstheme="minorHAnsi"/>
          <w:sz w:val="24"/>
          <w:szCs w:val="24"/>
        </w:rPr>
      </w:pPr>
      <w:r w:rsidRPr="007D23A2">
        <w:rPr>
          <w:rFonts w:cstheme="minorHAnsi"/>
          <w:sz w:val="24"/>
          <w:szCs w:val="24"/>
        </w:rPr>
        <w:t>This protocol provides a clinical guideline for the use of Plasma-</w:t>
      </w:r>
      <w:proofErr w:type="spellStart"/>
      <w:r w:rsidRPr="007D23A2">
        <w:rPr>
          <w:rFonts w:cstheme="minorHAnsi"/>
          <w:sz w:val="24"/>
          <w:szCs w:val="24"/>
        </w:rPr>
        <w:t>Lyte</w:t>
      </w:r>
      <w:proofErr w:type="spellEnd"/>
      <w:r w:rsidR="00A9302D" w:rsidRPr="007D23A2">
        <w:rPr>
          <w:rFonts w:cstheme="minorHAnsi"/>
          <w:sz w:val="24"/>
          <w:szCs w:val="24"/>
        </w:rPr>
        <w:t xml:space="preserve"> </w:t>
      </w:r>
      <w:r w:rsidRPr="007D23A2">
        <w:rPr>
          <w:rFonts w:cstheme="minorHAnsi"/>
          <w:sz w:val="24"/>
          <w:szCs w:val="24"/>
        </w:rPr>
        <w:t xml:space="preserve">148 in patients admitted </w:t>
      </w:r>
      <w:r w:rsidR="00E031C5" w:rsidRPr="007D23A2">
        <w:rPr>
          <w:rFonts w:cstheme="minorHAnsi"/>
          <w:sz w:val="24"/>
          <w:szCs w:val="24"/>
        </w:rPr>
        <w:t>to intensive care unit (ICU) and theatres at</w:t>
      </w:r>
      <w:r w:rsidRPr="007D23A2">
        <w:rPr>
          <w:rFonts w:cstheme="minorHAnsi"/>
          <w:sz w:val="24"/>
          <w:szCs w:val="24"/>
        </w:rPr>
        <w:t xml:space="preserve"> Nobles Hospital.</w:t>
      </w:r>
    </w:p>
    <w:p w:rsidR="004E300D" w:rsidRPr="007D23A2" w:rsidRDefault="004E300D" w:rsidP="0028726A">
      <w:pPr>
        <w:pStyle w:val="NoSpacing"/>
        <w:ind w:left="709"/>
        <w:rPr>
          <w:rFonts w:cstheme="minorHAnsi"/>
          <w:sz w:val="24"/>
          <w:szCs w:val="24"/>
        </w:rPr>
      </w:pPr>
    </w:p>
    <w:p w:rsidR="000F5256" w:rsidRPr="007D23A2" w:rsidRDefault="000F5256" w:rsidP="0028726A">
      <w:pPr>
        <w:pStyle w:val="NoSpacing"/>
        <w:ind w:left="709"/>
        <w:rPr>
          <w:rFonts w:cstheme="minorHAnsi"/>
          <w:sz w:val="24"/>
          <w:szCs w:val="24"/>
        </w:rPr>
      </w:pPr>
      <w:r w:rsidRPr="007D23A2">
        <w:rPr>
          <w:rFonts w:cstheme="minorHAnsi"/>
          <w:sz w:val="24"/>
          <w:szCs w:val="24"/>
        </w:rPr>
        <w:t>Plasma-</w:t>
      </w:r>
      <w:proofErr w:type="spellStart"/>
      <w:r w:rsidRPr="007D23A2">
        <w:rPr>
          <w:rFonts w:cstheme="minorHAnsi"/>
          <w:sz w:val="24"/>
          <w:szCs w:val="24"/>
        </w:rPr>
        <w:t>Lyte</w:t>
      </w:r>
      <w:proofErr w:type="spellEnd"/>
      <w:r w:rsidRPr="007D23A2">
        <w:rPr>
          <w:rFonts w:cstheme="minorHAnsi"/>
          <w:sz w:val="24"/>
          <w:szCs w:val="24"/>
        </w:rPr>
        <w:t xml:space="preserve"> 148</w:t>
      </w:r>
      <w:r w:rsidR="004E300D" w:rsidRPr="007D23A2">
        <w:rPr>
          <w:rFonts w:cstheme="minorHAnsi"/>
          <w:sz w:val="24"/>
          <w:szCs w:val="24"/>
        </w:rPr>
        <w:t xml:space="preserve"> is a balanced, crystalloid intravenous fluid. It is an isotonic solution of electrolytes with concentrations that are designed to match those of plasma. </w:t>
      </w:r>
      <w:r w:rsidR="00DB5398" w:rsidRPr="007D23A2">
        <w:rPr>
          <w:rFonts w:cstheme="minorHAnsi"/>
          <w:sz w:val="24"/>
          <w:szCs w:val="24"/>
        </w:rPr>
        <w:t xml:space="preserve">There is increasing evidence that administering excess chloride may have detrimental effect on renal function, even at low doses. Therefore, the use of balanced crystalloids is more favourable in order to avoid fluid induced metabolic acidosis and </w:t>
      </w:r>
      <w:proofErr w:type="spellStart"/>
      <w:r w:rsidR="00DB5398" w:rsidRPr="007D23A2">
        <w:rPr>
          <w:rFonts w:cstheme="minorHAnsi"/>
          <w:sz w:val="24"/>
          <w:szCs w:val="24"/>
        </w:rPr>
        <w:t>hyperchloraemia</w:t>
      </w:r>
      <w:proofErr w:type="spellEnd"/>
      <w:r w:rsidR="00DB5398" w:rsidRPr="007D23A2">
        <w:rPr>
          <w:rFonts w:cstheme="minorHAnsi"/>
          <w:sz w:val="24"/>
          <w:szCs w:val="24"/>
        </w:rPr>
        <w:t xml:space="preserve">. </w:t>
      </w:r>
    </w:p>
    <w:p w:rsidR="004B69D6" w:rsidRPr="007D23A2" w:rsidRDefault="004B69D6" w:rsidP="0028726A">
      <w:pPr>
        <w:pStyle w:val="NoSpacing"/>
        <w:ind w:left="709" w:hanging="709"/>
        <w:rPr>
          <w:rFonts w:cstheme="minorHAnsi"/>
          <w:sz w:val="24"/>
          <w:szCs w:val="24"/>
        </w:rPr>
      </w:pPr>
    </w:p>
    <w:p w:rsidR="000F5256" w:rsidRPr="007D23A2" w:rsidRDefault="007D23A2" w:rsidP="0028726A">
      <w:pPr>
        <w:pStyle w:val="Heading1"/>
        <w:spacing w:before="0"/>
        <w:ind w:left="709" w:hanging="709"/>
        <w:rPr>
          <w:rFonts w:asciiTheme="minorHAnsi" w:hAnsiTheme="minorHAnsi" w:cstheme="minorHAnsi"/>
          <w:b/>
          <w:color w:val="auto"/>
          <w:sz w:val="24"/>
          <w:szCs w:val="24"/>
        </w:rPr>
      </w:pPr>
      <w:bookmarkStart w:id="1" w:name="_Toc151020785"/>
      <w:r w:rsidRPr="007D23A2">
        <w:rPr>
          <w:rFonts w:asciiTheme="minorHAnsi" w:hAnsiTheme="minorHAnsi" w:cstheme="minorHAnsi"/>
          <w:b/>
          <w:color w:val="auto"/>
          <w:sz w:val="24"/>
          <w:szCs w:val="24"/>
        </w:rPr>
        <w:t>2</w:t>
      </w:r>
      <w:r w:rsidRPr="007D23A2">
        <w:rPr>
          <w:rFonts w:asciiTheme="minorHAnsi" w:hAnsiTheme="minorHAnsi" w:cstheme="minorHAnsi"/>
          <w:b/>
          <w:color w:val="auto"/>
          <w:sz w:val="24"/>
          <w:szCs w:val="24"/>
        </w:rPr>
        <w:tab/>
      </w:r>
      <w:r w:rsidR="000F5256" w:rsidRPr="007D23A2">
        <w:rPr>
          <w:rFonts w:asciiTheme="minorHAnsi" w:hAnsiTheme="minorHAnsi" w:cstheme="minorHAnsi"/>
          <w:b/>
          <w:color w:val="auto"/>
          <w:sz w:val="24"/>
          <w:szCs w:val="24"/>
        </w:rPr>
        <w:t>Purpose</w:t>
      </w:r>
      <w:bookmarkEnd w:id="1"/>
      <w:r w:rsidR="000F5256" w:rsidRPr="007D23A2">
        <w:rPr>
          <w:rFonts w:asciiTheme="minorHAnsi" w:hAnsiTheme="minorHAnsi" w:cstheme="minorHAnsi"/>
          <w:b/>
          <w:color w:val="auto"/>
          <w:sz w:val="24"/>
          <w:szCs w:val="24"/>
        </w:rPr>
        <w:t xml:space="preserve"> </w:t>
      </w:r>
    </w:p>
    <w:p w:rsidR="000F5256" w:rsidRPr="007D23A2" w:rsidRDefault="000F5256" w:rsidP="0028726A">
      <w:pPr>
        <w:ind w:left="709" w:hanging="709"/>
        <w:rPr>
          <w:rFonts w:cstheme="minorHAnsi"/>
        </w:rPr>
      </w:pPr>
      <w:r w:rsidRPr="007D23A2">
        <w:rPr>
          <w:rFonts w:cstheme="minorHAnsi"/>
        </w:rPr>
        <w:tab/>
        <w:t xml:space="preserve"> </w:t>
      </w:r>
    </w:p>
    <w:p w:rsidR="000F5256" w:rsidRPr="007D23A2" w:rsidRDefault="000F5256" w:rsidP="0028726A">
      <w:pPr>
        <w:ind w:left="709"/>
        <w:rPr>
          <w:rFonts w:cstheme="minorHAnsi"/>
        </w:rPr>
      </w:pPr>
      <w:r w:rsidRPr="007D23A2">
        <w:rPr>
          <w:rFonts w:cstheme="minorHAnsi"/>
        </w:rPr>
        <w:t>This guideline outlines the indications, administration, contraindications of Plasma-</w:t>
      </w:r>
      <w:proofErr w:type="spellStart"/>
      <w:r w:rsidRPr="007D23A2">
        <w:rPr>
          <w:rFonts w:cstheme="minorHAnsi"/>
        </w:rPr>
        <w:t>Lyte</w:t>
      </w:r>
      <w:proofErr w:type="spellEnd"/>
      <w:r w:rsidRPr="007D23A2">
        <w:rPr>
          <w:rFonts w:cstheme="minorHAnsi"/>
        </w:rPr>
        <w:t xml:space="preserve"> 148.</w:t>
      </w:r>
    </w:p>
    <w:p w:rsidR="000F5256" w:rsidRPr="007D23A2" w:rsidRDefault="000F5256" w:rsidP="0028726A">
      <w:pPr>
        <w:ind w:left="709"/>
        <w:rPr>
          <w:rFonts w:cstheme="minorHAnsi"/>
        </w:rPr>
      </w:pPr>
    </w:p>
    <w:p w:rsidR="000F5256" w:rsidRPr="007D23A2" w:rsidRDefault="000F5256" w:rsidP="0028726A">
      <w:pPr>
        <w:ind w:left="709"/>
        <w:rPr>
          <w:rFonts w:cstheme="minorHAnsi"/>
        </w:rPr>
      </w:pPr>
      <w:r w:rsidRPr="007D23A2">
        <w:rPr>
          <w:rFonts w:cstheme="minorHAnsi"/>
        </w:rPr>
        <w:t>This document aims to aid clinicians in offering best care and advice in treating patients, supported by national policy. Clinical judgement in the initiation, review, escalation and de-escalation of patients should be supported where possible by multidisciplinary team assessment.</w:t>
      </w:r>
    </w:p>
    <w:p w:rsidR="000F5256" w:rsidRPr="007D23A2" w:rsidRDefault="000F5256" w:rsidP="0028726A">
      <w:pPr>
        <w:pStyle w:val="NoSpacing"/>
        <w:ind w:left="709" w:hanging="709"/>
        <w:rPr>
          <w:rFonts w:cstheme="minorHAnsi"/>
          <w:sz w:val="24"/>
          <w:szCs w:val="24"/>
        </w:rPr>
      </w:pPr>
    </w:p>
    <w:p w:rsidR="000F5256" w:rsidRPr="007D23A2" w:rsidRDefault="000F5256" w:rsidP="0028726A">
      <w:pPr>
        <w:pStyle w:val="Heading1"/>
        <w:spacing w:before="0"/>
        <w:ind w:left="709" w:hanging="709"/>
        <w:rPr>
          <w:rFonts w:asciiTheme="minorHAnsi" w:hAnsiTheme="minorHAnsi" w:cstheme="minorHAnsi"/>
          <w:b/>
          <w:color w:val="auto"/>
          <w:sz w:val="24"/>
          <w:szCs w:val="24"/>
        </w:rPr>
      </w:pPr>
      <w:r w:rsidRPr="007D23A2">
        <w:rPr>
          <w:rFonts w:asciiTheme="minorHAnsi" w:hAnsiTheme="minorHAnsi" w:cstheme="minorHAnsi"/>
          <w:b/>
          <w:color w:val="auto"/>
          <w:sz w:val="24"/>
          <w:szCs w:val="24"/>
        </w:rPr>
        <w:t xml:space="preserve"> </w:t>
      </w:r>
      <w:bookmarkStart w:id="2" w:name="_Toc151020786"/>
      <w:r w:rsidR="007D23A2" w:rsidRPr="007D23A2">
        <w:rPr>
          <w:rFonts w:asciiTheme="minorHAnsi" w:hAnsiTheme="minorHAnsi" w:cstheme="minorHAnsi"/>
          <w:b/>
          <w:color w:val="auto"/>
          <w:sz w:val="24"/>
          <w:szCs w:val="24"/>
        </w:rPr>
        <w:t>3</w:t>
      </w:r>
      <w:r w:rsidR="007D23A2" w:rsidRPr="007D23A2">
        <w:rPr>
          <w:rFonts w:asciiTheme="minorHAnsi" w:hAnsiTheme="minorHAnsi" w:cstheme="minorHAnsi"/>
          <w:b/>
          <w:color w:val="auto"/>
          <w:sz w:val="24"/>
          <w:szCs w:val="24"/>
        </w:rPr>
        <w:tab/>
      </w:r>
      <w:r w:rsidRPr="007D23A2">
        <w:rPr>
          <w:rFonts w:asciiTheme="minorHAnsi" w:hAnsiTheme="minorHAnsi" w:cstheme="minorHAnsi"/>
          <w:b/>
          <w:color w:val="auto"/>
          <w:sz w:val="24"/>
          <w:szCs w:val="24"/>
        </w:rPr>
        <w:t>Scope</w:t>
      </w:r>
      <w:bookmarkEnd w:id="2"/>
    </w:p>
    <w:p w:rsidR="000F5256" w:rsidRPr="007D23A2" w:rsidRDefault="000F5256" w:rsidP="0028726A">
      <w:pPr>
        <w:pStyle w:val="NoSpacing"/>
        <w:ind w:left="709" w:hanging="709"/>
        <w:rPr>
          <w:rFonts w:cstheme="minorHAnsi"/>
          <w:sz w:val="24"/>
          <w:szCs w:val="24"/>
        </w:rPr>
      </w:pPr>
      <w:r w:rsidRPr="007D23A2">
        <w:rPr>
          <w:rFonts w:cstheme="minorHAnsi"/>
          <w:sz w:val="24"/>
          <w:szCs w:val="24"/>
        </w:rPr>
        <w:tab/>
      </w:r>
    </w:p>
    <w:p w:rsidR="00D62305" w:rsidRPr="007D23A2" w:rsidRDefault="000F5256" w:rsidP="0028726A">
      <w:pPr>
        <w:pStyle w:val="NoSpacing"/>
        <w:ind w:left="709"/>
        <w:rPr>
          <w:rFonts w:cstheme="minorHAnsi"/>
          <w:sz w:val="24"/>
          <w:szCs w:val="24"/>
        </w:rPr>
      </w:pPr>
      <w:r w:rsidRPr="007D23A2">
        <w:rPr>
          <w:rFonts w:cstheme="minorHAnsi"/>
          <w:sz w:val="24"/>
          <w:szCs w:val="24"/>
        </w:rPr>
        <w:t>This document applies to all clinical staff</w:t>
      </w:r>
      <w:r w:rsidR="00C136D8" w:rsidRPr="007D23A2">
        <w:rPr>
          <w:rFonts w:cstheme="minorHAnsi"/>
          <w:sz w:val="24"/>
          <w:szCs w:val="24"/>
        </w:rPr>
        <w:t xml:space="preserve"> on ICU</w:t>
      </w:r>
      <w:r w:rsidR="00902B3B" w:rsidRPr="007D23A2">
        <w:rPr>
          <w:rFonts w:cstheme="minorHAnsi"/>
          <w:sz w:val="24"/>
          <w:szCs w:val="24"/>
        </w:rPr>
        <w:t>,</w:t>
      </w:r>
      <w:r w:rsidR="00E031C5" w:rsidRPr="007D23A2">
        <w:rPr>
          <w:rFonts w:cstheme="minorHAnsi"/>
          <w:sz w:val="24"/>
          <w:szCs w:val="24"/>
        </w:rPr>
        <w:t xml:space="preserve"> theatres and pharmacy</w:t>
      </w:r>
      <w:r w:rsidR="00902B3B" w:rsidRPr="007D23A2">
        <w:rPr>
          <w:rFonts w:cstheme="minorHAnsi"/>
          <w:sz w:val="24"/>
          <w:szCs w:val="24"/>
        </w:rPr>
        <w:t xml:space="preserve"> </w:t>
      </w:r>
      <w:r w:rsidR="00A9302D" w:rsidRPr="007D23A2">
        <w:rPr>
          <w:rFonts w:cstheme="minorHAnsi"/>
          <w:sz w:val="24"/>
          <w:szCs w:val="24"/>
        </w:rPr>
        <w:t xml:space="preserve">working for </w:t>
      </w:r>
      <w:r w:rsidRPr="007D23A2">
        <w:rPr>
          <w:rFonts w:cstheme="minorHAnsi"/>
          <w:sz w:val="24"/>
          <w:szCs w:val="24"/>
        </w:rPr>
        <w:t>Manx Care.</w:t>
      </w:r>
    </w:p>
    <w:p w:rsidR="00D62305" w:rsidRPr="007D23A2" w:rsidRDefault="00D62305" w:rsidP="0028726A">
      <w:pPr>
        <w:pStyle w:val="NoSpacing"/>
        <w:ind w:left="709" w:hanging="709"/>
        <w:rPr>
          <w:rFonts w:cstheme="minorHAnsi"/>
          <w:sz w:val="24"/>
          <w:szCs w:val="24"/>
        </w:rPr>
      </w:pPr>
    </w:p>
    <w:p w:rsidR="004B69D6" w:rsidRPr="007D23A2" w:rsidRDefault="007D23A2" w:rsidP="0028726A">
      <w:pPr>
        <w:pStyle w:val="Heading1"/>
        <w:spacing w:before="0"/>
        <w:ind w:left="709" w:hanging="709"/>
        <w:rPr>
          <w:rFonts w:asciiTheme="minorHAnsi" w:hAnsiTheme="minorHAnsi" w:cstheme="minorHAnsi"/>
          <w:b/>
          <w:color w:val="auto"/>
          <w:sz w:val="24"/>
          <w:szCs w:val="24"/>
        </w:rPr>
      </w:pPr>
      <w:bookmarkStart w:id="3" w:name="_Toc151020787"/>
      <w:r w:rsidRPr="007D23A2">
        <w:rPr>
          <w:rFonts w:asciiTheme="minorHAnsi" w:hAnsiTheme="minorHAnsi" w:cstheme="minorHAnsi"/>
          <w:b/>
          <w:color w:val="auto"/>
          <w:sz w:val="24"/>
          <w:szCs w:val="24"/>
        </w:rPr>
        <w:t>4</w:t>
      </w:r>
      <w:r w:rsidRPr="007D23A2">
        <w:rPr>
          <w:rFonts w:asciiTheme="minorHAnsi" w:hAnsiTheme="minorHAnsi" w:cstheme="minorHAnsi"/>
          <w:b/>
          <w:color w:val="auto"/>
          <w:sz w:val="24"/>
          <w:szCs w:val="24"/>
        </w:rPr>
        <w:tab/>
      </w:r>
      <w:r w:rsidR="004B69D6" w:rsidRPr="007D23A2">
        <w:rPr>
          <w:rFonts w:asciiTheme="minorHAnsi" w:hAnsiTheme="minorHAnsi" w:cstheme="minorHAnsi"/>
          <w:b/>
          <w:color w:val="auto"/>
          <w:sz w:val="24"/>
          <w:szCs w:val="24"/>
        </w:rPr>
        <w:t>Guideline</w:t>
      </w:r>
      <w:bookmarkEnd w:id="3"/>
      <w:r w:rsidR="004B69D6" w:rsidRPr="007D23A2">
        <w:rPr>
          <w:rFonts w:asciiTheme="minorHAnsi" w:hAnsiTheme="minorHAnsi" w:cstheme="minorHAnsi"/>
          <w:b/>
          <w:color w:val="auto"/>
          <w:sz w:val="24"/>
          <w:szCs w:val="24"/>
        </w:rPr>
        <w:t xml:space="preserve"> </w:t>
      </w:r>
    </w:p>
    <w:p w:rsidR="004B69D6" w:rsidRPr="007D23A2" w:rsidRDefault="004B69D6" w:rsidP="0028726A">
      <w:pPr>
        <w:pStyle w:val="NoSpacing"/>
        <w:ind w:left="709" w:hanging="709"/>
        <w:rPr>
          <w:rFonts w:cstheme="minorHAnsi"/>
          <w:sz w:val="24"/>
          <w:szCs w:val="24"/>
        </w:rPr>
      </w:pPr>
    </w:p>
    <w:p w:rsidR="004B69D6" w:rsidRPr="007D23A2" w:rsidRDefault="004B69D6" w:rsidP="0028726A">
      <w:pPr>
        <w:pStyle w:val="NoSpacing"/>
        <w:ind w:left="709"/>
        <w:rPr>
          <w:rFonts w:cstheme="minorHAnsi"/>
          <w:sz w:val="24"/>
          <w:szCs w:val="24"/>
        </w:rPr>
      </w:pPr>
      <w:r w:rsidRPr="007D23A2">
        <w:rPr>
          <w:rFonts w:cstheme="minorHAnsi"/>
          <w:sz w:val="24"/>
          <w:szCs w:val="24"/>
        </w:rPr>
        <w:t>The pharmacological properties of Plasma-</w:t>
      </w:r>
      <w:proofErr w:type="spellStart"/>
      <w:r w:rsidRPr="007D23A2">
        <w:rPr>
          <w:rFonts w:cstheme="minorHAnsi"/>
          <w:sz w:val="24"/>
          <w:szCs w:val="24"/>
        </w:rPr>
        <w:t>Lyte</w:t>
      </w:r>
      <w:proofErr w:type="spellEnd"/>
      <w:r w:rsidRPr="007D23A2">
        <w:rPr>
          <w:rFonts w:cstheme="minorHAnsi"/>
          <w:sz w:val="24"/>
          <w:szCs w:val="24"/>
        </w:rPr>
        <w:t xml:space="preserve"> 148 solution are those of its components (water, sodium, potassium, magnesium, chloride, acetate and gluconate). The main effect of Plasma-</w:t>
      </w:r>
      <w:proofErr w:type="spellStart"/>
      <w:r w:rsidRPr="007D23A2">
        <w:rPr>
          <w:rFonts w:cstheme="minorHAnsi"/>
          <w:sz w:val="24"/>
          <w:szCs w:val="24"/>
        </w:rPr>
        <w:t>Lyte</w:t>
      </w:r>
      <w:proofErr w:type="spellEnd"/>
      <w:r w:rsidRPr="007D23A2">
        <w:rPr>
          <w:rFonts w:cstheme="minorHAnsi"/>
          <w:sz w:val="24"/>
          <w:szCs w:val="24"/>
        </w:rPr>
        <w:t xml:space="preserve"> 148 is the expansion of the extracellular compartment including both the interstitial fluid and the intravascular fluid.</w:t>
      </w:r>
    </w:p>
    <w:p w:rsidR="004B69D6" w:rsidRPr="007D23A2" w:rsidRDefault="004B69D6" w:rsidP="0028726A">
      <w:pPr>
        <w:pStyle w:val="NoSpacing"/>
        <w:ind w:left="709"/>
        <w:rPr>
          <w:rFonts w:cstheme="minorHAnsi"/>
          <w:sz w:val="24"/>
          <w:szCs w:val="24"/>
        </w:rPr>
      </w:pPr>
    </w:p>
    <w:p w:rsidR="004B69D6" w:rsidRPr="007D23A2" w:rsidRDefault="004B69D6" w:rsidP="0028726A">
      <w:pPr>
        <w:pStyle w:val="NoSpacing"/>
        <w:ind w:left="709"/>
        <w:rPr>
          <w:rFonts w:cstheme="minorHAnsi"/>
          <w:sz w:val="24"/>
          <w:szCs w:val="24"/>
        </w:rPr>
      </w:pPr>
      <w:r w:rsidRPr="007D23A2">
        <w:rPr>
          <w:rFonts w:cstheme="minorHAnsi"/>
          <w:sz w:val="24"/>
          <w:szCs w:val="24"/>
        </w:rPr>
        <w:t>Fluid balance, serum electrolytes and acid-base balance should be monitored before and during administration, with particular attention to serum sodium in patients with increased non-osmotic vasopressin release (syndrome of inappropriate antidiuretic hormone secretion, SIADH) and in patients co-medicated with vasopressin agonist drugs, due to the risk of hospital acquired hyponatraemia. Monitoring of serum sodium is particularly important for hypotonic fluids.</w:t>
      </w:r>
    </w:p>
    <w:p w:rsidR="004B69D6" w:rsidRPr="007D23A2" w:rsidRDefault="004B69D6" w:rsidP="0028726A">
      <w:pPr>
        <w:pStyle w:val="NoSpacing"/>
        <w:ind w:left="709"/>
        <w:rPr>
          <w:rFonts w:cstheme="minorHAnsi"/>
          <w:sz w:val="24"/>
          <w:szCs w:val="24"/>
        </w:rPr>
      </w:pPr>
    </w:p>
    <w:p w:rsidR="004B69D6" w:rsidRPr="007D23A2" w:rsidRDefault="00DB5398" w:rsidP="0028726A">
      <w:pPr>
        <w:pStyle w:val="NoSpacing"/>
        <w:ind w:left="709"/>
        <w:rPr>
          <w:rFonts w:cstheme="minorHAnsi"/>
          <w:sz w:val="24"/>
          <w:szCs w:val="24"/>
        </w:rPr>
      </w:pPr>
      <w:r w:rsidRPr="007D23A2">
        <w:rPr>
          <w:rFonts w:cstheme="minorHAnsi"/>
          <w:sz w:val="24"/>
          <w:szCs w:val="24"/>
        </w:rPr>
        <w:t>Studies show that when compared with Plasma-</w:t>
      </w:r>
      <w:proofErr w:type="spellStart"/>
      <w:r w:rsidRPr="007D23A2">
        <w:rPr>
          <w:rFonts w:cstheme="minorHAnsi"/>
          <w:sz w:val="24"/>
          <w:szCs w:val="24"/>
        </w:rPr>
        <w:t>Lyte</w:t>
      </w:r>
      <w:proofErr w:type="spellEnd"/>
      <w:r w:rsidRPr="007D23A2">
        <w:rPr>
          <w:rFonts w:cstheme="minorHAnsi"/>
          <w:sz w:val="24"/>
          <w:szCs w:val="24"/>
        </w:rPr>
        <w:t xml:space="preserve"> 148, 0.9% sodium chloride caused a higher rate of metabolic acidosis and </w:t>
      </w:r>
      <w:proofErr w:type="spellStart"/>
      <w:r w:rsidRPr="007D23A2">
        <w:rPr>
          <w:rFonts w:cstheme="minorHAnsi"/>
          <w:sz w:val="24"/>
          <w:szCs w:val="24"/>
        </w:rPr>
        <w:t>hyperchloraemia</w:t>
      </w:r>
      <w:proofErr w:type="spellEnd"/>
      <w:r w:rsidRPr="007D23A2">
        <w:rPr>
          <w:rFonts w:cstheme="minorHAnsi"/>
          <w:sz w:val="24"/>
          <w:szCs w:val="24"/>
        </w:rPr>
        <w:t xml:space="preserve">, leading to decreased renal artery blood velocity, decreased renal cortical tissue perfusion, decreased urine output and increased extravascular fluid accumulation. Instead, a balanced crystalloid with lower chloride concentration is preferred. </w:t>
      </w:r>
      <w:r w:rsidR="004B69D6" w:rsidRPr="007D23A2">
        <w:rPr>
          <w:rFonts w:cstheme="minorHAnsi"/>
          <w:sz w:val="24"/>
          <w:szCs w:val="24"/>
        </w:rPr>
        <w:t>See appendix 1 for the composition of Plasma-</w:t>
      </w:r>
      <w:proofErr w:type="spellStart"/>
      <w:r w:rsidR="004B69D6" w:rsidRPr="007D23A2">
        <w:rPr>
          <w:rFonts w:cstheme="minorHAnsi"/>
          <w:sz w:val="24"/>
          <w:szCs w:val="24"/>
        </w:rPr>
        <w:t>Lyte</w:t>
      </w:r>
      <w:proofErr w:type="spellEnd"/>
      <w:r w:rsidR="004B69D6" w:rsidRPr="007D23A2">
        <w:rPr>
          <w:rFonts w:cstheme="minorHAnsi"/>
          <w:sz w:val="24"/>
          <w:szCs w:val="24"/>
        </w:rPr>
        <w:t xml:space="preserve"> 148 VS Sodium Chloride 0.9% and Compound sodium lactate</w:t>
      </w:r>
      <w:r w:rsidR="00A9302D" w:rsidRPr="007D23A2">
        <w:rPr>
          <w:rFonts w:cstheme="minorHAnsi"/>
          <w:sz w:val="24"/>
          <w:szCs w:val="24"/>
        </w:rPr>
        <w:t xml:space="preserve"> (Hartmann’s)</w:t>
      </w:r>
      <w:r w:rsidR="004B69D6" w:rsidRPr="007D23A2">
        <w:rPr>
          <w:rFonts w:cstheme="minorHAnsi"/>
          <w:sz w:val="24"/>
          <w:szCs w:val="24"/>
        </w:rPr>
        <w:t>.</w:t>
      </w:r>
    </w:p>
    <w:p w:rsidR="00A9302D" w:rsidRPr="007D23A2" w:rsidRDefault="007D23A2" w:rsidP="0028726A">
      <w:pPr>
        <w:pStyle w:val="Heading2"/>
        <w:ind w:left="709" w:hanging="709"/>
        <w:rPr>
          <w:rFonts w:asciiTheme="minorHAnsi" w:hAnsiTheme="minorHAnsi"/>
          <w:b/>
          <w:color w:val="auto"/>
          <w:sz w:val="24"/>
          <w:szCs w:val="24"/>
        </w:rPr>
      </w:pPr>
      <w:bookmarkStart w:id="4" w:name="_Toc151020788"/>
      <w:r w:rsidRPr="007D23A2">
        <w:rPr>
          <w:rFonts w:asciiTheme="minorHAnsi" w:hAnsiTheme="minorHAnsi"/>
          <w:b/>
          <w:color w:val="auto"/>
          <w:sz w:val="24"/>
          <w:szCs w:val="24"/>
        </w:rPr>
        <w:lastRenderedPageBreak/>
        <w:t>4.1</w:t>
      </w:r>
      <w:r w:rsidRPr="007D23A2">
        <w:rPr>
          <w:rFonts w:asciiTheme="minorHAnsi" w:hAnsiTheme="minorHAnsi"/>
          <w:b/>
          <w:color w:val="auto"/>
          <w:sz w:val="24"/>
          <w:szCs w:val="24"/>
        </w:rPr>
        <w:tab/>
        <w:t>R</w:t>
      </w:r>
      <w:r w:rsidR="00A9302D" w:rsidRPr="007D23A2">
        <w:rPr>
          <w:rFonts w:asciiTheme="minorHAnsi" w:hAnsiTheme="minorHAnsi"/>
          <w:b/>
          <w:color w:val="auto"/>
          <w:sz w:val="24"/>
          <w:szCs w:val="24"/>
        </w:rPr>
        <w:t>esuscitation</w:t>
      </w:r>
      <w:bookmarkEnd w:id="4"/>
    </w:p>
    <w:p w:rsidR="00A9302D" w:rsidRPr="007D23A2" w:rsidRDefault="00A9302D" w:rsidP="0028726A">
      <w:pPr>
        <w:pStyle w:val="NoSpacing"/>
        <w:ind w:left="709" w:hanging="709"/>
        <w:rPr>
          <w:rFonts w:cstheme="minorHAnsi"/>
          <w:sz w:val="24"/>
          <w:szCs w:val="24"/>
        </w:rPr>
      </w:pPr>
    </w:p>
    <w:p w:rsidR="0028726A" w:rsidRDefault="00A9302D" w:rsidP="0028726A">
      <w:pPr>
        <w:pStyle w:val="NoSpacing"/>
        <w:ind w:left="709"/>
        <w:rPr>
          <w:rFonts w:cstheme="minorHAnsi"/>
          <w:sz w:val="24"/>
          <w:szCs w:val="24"/>
        </w:rPr>
      </w:pPr>
      <w:r w:rsidRPr="007D23A2">
        <w:rPr>
          <w:rFonts w:cstheme="minorHAnsi"/>
          <w:sz w:val="24"/>
          <w:szCs w:val="24"/>
        </w:rPr>
        <w:t>The following flowchart highlights the</w:t>
      </w:r>
      <w:r w:rsidR="007D23A2" w:rsidRPr="007D23A2">
        <w:rPr>
          <w:rFonts w:cstheme="minorHAnsi"/>
          <w:sz w:val="24"/>
          <w:szCs w:val="24"/>
        </w:rPr>
        <w:t xml:space="preserve"> fluid resuscitation procedure:</w:t>
      </w:r>
    </w:p>
    <w:p w:rsidR="0028726A" w:rsidRPr="007D23A2" w:rsidRDefault="0028726A" w:rsidP="0028726A">
      <w:pPr>
        <w:pStyle w:val="NoSpacing"/>
        <w:ind w:left="709"/>
        <w:rPr>
          <w:rFonts w:cstheme="minorHAnsi"/>
          <w:sz w:val="24"/>
          <w:szCs w:val="24"/>
        </w:rPr>
      </w:pPr>
    </w:p>
    <w:p w:rsidR="008C585C" w:rsidRPr="007D23A2" w:rsidRDefault="00A9302D" w:rsidP="007D23A2">
      <w:pPr>
        <w:pStyle w:val="NormalWeb"/>
        <w:spacing w:before="0" w:beforeAutospacing="0" w:after="150" w:afterAutospacing="0"/>
        <w:ind w:left="567" w:hanging="567"/>
        <w:rPr>
          <w:rFonts w:asciiTheme="minorHAnsi" w:hAnsiTheme="minorHAnsi" w:cstheme="minorHAnsi"/>
          <w:b/>
        </w:rPr>
      </w:pPr>
      <w:r w:rsidRPr="007D23A2">
        <w:rPr>
          <w:rFonts w:asciiTheme="minorHAnsi" w:hAnsiTheme="minorHAnsi" w:cstheme="minorHAnsi"/>
          <w:b/>
          <w:noProof/>
        </w:rPr>
        <w:drawing>
          <wp:inline distT="0" distB="0" distL="0" distR="0">
            <wp:extent cx="5986904" cy="8218967"/>
            <wp:effectExtent l="0" t="0" r="0" b="0"/>
            <wp:docPr id="1" name="Picture 1" descr="C:\Users\npmyuaj\AppData\Local\Microsoft\Windows\INetCache\Content.Outlook\JLR61GP1\Plasmalyte flo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myuaj\AppData\Local\Microsoft\Windows\INetCache\Content.Outlook\JLR61GP1\Plasmalyte flochart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8327" cy="8220921"/>
                    </a:xfrm>
                    <a:prstGeom prst="rect">
                      <a:avLst/>
                    </a:prstGeom>
                    <a:noFill/>
                    <a:ln>
                      <a:noFill/>
                    </a:ln>
                  </pic:spPr>
                </pic:pic>
              </a:graphicData>
            </a:graphic>
          </wp:inline>
        </w:drawing>
      </w:r>
    </w:p>
    <w:p w:rsidR="00A9302D" w:rsidRPr="007D23A2" w:rsidRDefault="007D23A2" w:rsidP="0028726A">
      <w:pPr>
        <w:pStyle w:val="Heading2"/>
        <w:spacing w:before="0"/>
        <w:ind w:left="709" w:hanging="709"/>
        <w:rPr>
          <w:rFonts w:asciiTheme="minorHAnsi" w:hAnsiTheme="minorHAnsi"/>
          <w:b/>
          <w:color w:val="auto"/>
          <w:sz w:val="24"/>
          <w:szCs w:val="24"/>
        </w:rPr>
      </w:pPr>
      <w:bookmarkStart w:id="5" w:name="_Toc151020789"/>
      <w:r w:rsidRPr="007D23A2">
        <w:rPr>
          <w:rFonts w:asciiTheme="minorHAnsi" w:hAnsiTheme="minorHAnsi"/>
          <w:b/>
          <w:color w:val="auto"/>
          <w:sz w:val="24"/>
          <w:szCs w:val="24"/>
        </w:rPr>
        <w:lastRenderedPageBreak/>
        <w:t>4.2</w:t>
      </w:r>
      <w:r w:rsidRPr="007D23A2">
        <w:rPr>
          <w:rFonts w:asciiTheme="minorHAnsi" w:hAnsiTheme="minorHAnsi"/>
          <w:b/>
          <w:color w:val="auto"/>
          <w:sz w:val="24"/>
          <w:szCs w:val="24"/>
        </w:rPr>
        <w:tab/>
      </w:r>
      <w:r w:rsidR="00A9302D" w:rsidRPr="007D23A2">
        <w:rPr>
          <w:rFonts w:asciiTheme="minorHAnsi" w:hAnsiTheme="minorHAnsi"/>
          <w:b/>
          <w:color w:val="auto"/>
          <w:sz w:val="24"/>
          <w:szCs w:val="24"/>
        </w:rPr>
        <w:t>Maintenance</w:t>
      </w:r>
      <w:bookmarkEnd w:id="5"/>
    </w:p>
    <w:p w:rsidR="007D23A2" w:rsidRPr="007D23A2" w:rsidRDefault="007D23A2" w:rsidP="0028726A">
      <w:pPr>
        <w:pStyle w:val="NormalWeb"/>
        <w:spacing w:before="0" w:beforeAutospacing="0" w:after="0" w:afterAutospacing="0"/>
        <w:ind w:left="709" w:hanging="709"/>
        <w:rPr>
          <w:rFonts w:asciiTheme="minorHAnsi" w:hAnsiTheme="minorHAnsi" w:cstheme="minorHAnsi"/>
        </w:rPr>
      </w:pPr>
    </w:p>
    <w:p w:rsidR="008C585C" w:rsidRDefault="00287083"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 use of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as </w:t>
      </w:r>
      <w:r w:rsidR="00A9302D" w:rsidRPr="007D23A2">
        <w:rPr>
          <w:rFonts w:asciiTheme="minorHAnsi" w:hAnsiTheme="minorHAnsi" w:cstheme="minorHAnsi"/>
        </w:rPr>
        <w:t>maintenance</w:t>
      </w:r>
      <w:r w:rsidRPr="007D23A2">
        <w:rPr>
          <w:rFonts w:asciiTheme="minorHAnsi" w:hAnsiTheme="minorHAnsi" w:cstheme="minorHAnsi"/>
        </w:rPr>
        <w:t xml:space="preserve"> fluid is suitable for patients:</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287083" w:rsidRPr="007D23A2" w:rsidRDefault="00287083" w:rsidP="0028726A">
      <w:pPr>
        <w:pStyle w:val="NormalWeb"/>
        <w:numPr>
          <w:ilvl w:val="0"/>
          <w:numId w:val="21"/>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After receiving over 2000mL of Hartmann’s or 0.9% Sodium Chloride</w:t>
      </w:r>
    </w:p>
    <w:p w:rsidR="00287083" w:rsidRPr="007D23A2" w:rsidRDefault="00287083" w:rsidP="0028726A">
      <w:pPr>
        <w:pStyle w:val="NormalWeb"/>
        <w:numPr>
          <w:ilvl w:val="0"/>
          <w:numId w:val="21"/>
        </w:numPr>
        <w:spacing w:before="0" w:beforeAutospacing="0" w:after="0" w:afterAutospacing="0"/>
        <w:ind w:left="1134" w:hanging="425"/>
        <w:rPr>
          <w:rFonts w:asciiTheme="minorHAnsi" w:hAnsiTheme="minorHAnsi" w:cstheme="minorHAnsi"/>
          <w:b/>
        </w:rPr>
      </w:pPr>
      <w:r w:rsidRPr="007D23A2">
        <w:rPr>
          <w:rFonts w:asciiTheme="minorHAnsi" w:hAnsiTheme="minorHAnsi" w:cstheme="minorHAnsi"/>
        </w:rPr>
        <w:t xml:space="preserve">With </w:t>
      </w:r>
      <w:proofErr w:type="spellStart"/>
      <w:r w:rsidRPr="007D23A2">
        <w:rPr>
          <w:rFonts w:asciiTheme="minorHAnsi" w:hAnsiTheme="minorHAnsi" w:cstheme="minorHAnsi"/>
        </w:rPr>
        <w:t>hypernatraemia</w:t>
      </w:r>
      <w:proofErr w:type="spellEnd"/>
    </w:p>
    <w:p w:rsidR="0028726A" w:rsidRDefault="0028726A" w:rsidP="0028726A">
      <w:pPr>
        <w:pStyle w:val="NormalWeb"/>
        <w:spacing w:before="0" w:beforeAutospacing="0" w:after="0" w:afterAutospacing="0"/>
        <w:ind w:left="709" w:hanging="709"/>
        <w:rPr>
          <w:rFonts w:asciiTheme="minorHAnsi" w:hAnsiTheme="minorHAnsi" w:cstheme="minorHAnsi"/>
        </w:rPr>
      </w:pPr>
    </w:p>
    <w:p w:rsidR="00A9302D" w:rsidRDefault="00A9302D" w:rsidP="0028726A">
      <w:pPr>
        <w:pStyle w:val="NormalWeb"/>
        <w:spacing w:before="0" w:beforeAutospacing="0" w:after="0" w:afterAutospacing="0"/>
        <w:ind w:left="709"/>
        <w:rPr>
          <w:rStyle w:val="Hyperlink"/>
          <w:rFonts w:asciiTheme="minorHAnsi" w:hAnsiTheme="minorHAnsi" w:cstheme="minorHAnsi"/>
          <w:color w:val="auto"/>
        </w:rPr>
      </w:pPr>
      <w:r w:rsidRPr="007D23A2">
        <w:rPr>
          <w:rFonts w:asciiTheme="minorHAnsi" w:hAnsiTheme="minorHAnsi" w:cstheme="minorHAnsi"/>
        </w:rPr>
        <w:t xml:space="preserve">For routine maintenance fluids, please refer to nice guidelines: </w:t>
      </w:r>
      <w:hyperlink r:id="rId9" w:history="1">
        <w:r w:rsidRPr="007D23A2">
          <w:rPr>
            <w:rStyle w:val="Hyperlink"/>
            <w:rFonts w:asciiTheme="minorHAnsi" w:hAnsiTheme="minorHAnsi" w:cstheme="minorHAnsi"/>
            <w:color w:val="auto"/>
          </w:rPr>
          <w:t>https://www.nice.org.uk/guidance/cg174</w:t>
        </w:r>
      </w:hyperlink>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287083" w:rsidRPr="007D23A2" w:rsidRDefault="00287083" w:rsidP="0028726A">
      <w:pPr>
        <w:pStyle w:val="NoSpacing"/>
        <w:ind w:left="709"/>
        <w:rPr>
          <w:rFonts w:cstheme="minorHAnsi"/>
          <w:b/>
          <w:sz w:val="24"/>
          <w:szCs w:val="24"/>
        </w:rPr>
      </w:pPr>
      <w:r w:rsidRPr="007D23A2">
        <w:rPr>
          <w:rFonts w:cstheme="minorHAnsi"/>
          <w:b/>
          <w:sz w:val="24"/>
          <w:szCs w:val="24"/>
        </w:rPr>
        <w:t>The use of Plasma-</w:t>
      </w:r>
      <w:proofErr w:type="spellStart"/>
      <w:r w:rsidRPr="007D23A2">
        <w:rPr>
          <w:rFonts w:cstheme="minorHAnsi"/>
          <w:b/>
          <w:sz w:val="24"/>
          <w:szCs w:val="24"/>
        </w:rPr>
        <w:t>Lyte</w:t>
      </w:r>
      <w:proofErr w:type="spellEnd"/>
      <w:r w:rsidRPr="007D23A2">
        <w:rPr>
          <w:rFonts w:cstheme="minorHAnsi"/>
          <w:b/>
          <w:sz w:val="24"/>
          <w:szCs w:val="24"/>
        </w:rPr>
        <w:t xml:space="preserve"> 148 is restricted to ICU and theatres only, until further discussion and review. </w:t>
      </w:r>
    </w:p>
    <w:p w:rsidR="008C585C" w:rsidRPr="007D23A2" w:rsidRDefault="008C585C" w:rsidP="0028726A">
      <w:pPr>
        <w:pStyle w:val="NormalWeb"/>
        <w:spacing w:before="0" w:beforeAutospacing="0" w:after="0" w:afterAutospacing="0"/>
        <w:ind w:left="709" w:hanging="709"/>
        <w:rPr>
          <w:rFonts w:asciiTheme="minorHAnsi" w:hAnsiTheme="minorHAnsi" w:cstheme="minorHAnsi"/>
          <w:b/>
        </w:rPr>
      </w:pPr>
    </w:p>
    <w:p w:rsidR="004B69D6" w:rsidRPr="0028726A" w:rsidRDefault="00287083" w:rsidP="0028726A">
      <w:pPr>
        <w:pStyle w:val="Heading2"/>
        <w:spacing w:before="0"/>
        <w:ind w:left="709" w:hanging="709"/>
        <w:rPr>
          <w:rFonts w:asciiTheme="minorHAnsi" w:hAnsiTheme="minorHAnsi"/>
          <w:b/>
          <w:color w:val="auto"/>
          <w:sz w:val="24"/>
          <w:szCs w:val="24"/>
        </w:rPr>
      </w:pPr>
      <w:bookmarkStart w:id="6" w:name="_Toc151020790"/>
      <w:r w:rsidRPr="0028726A">
        <w:rPr>
          <w:rFonts w:asciiTheme="minorHAnsi" w:hAnsiTheme="minorHAnsi"/>
          <w:b/>
          <w:color w:val="auto"/>
          <w:sz w:val="24"/>
          <w:szCs w:val="24"/>
        </w:rPr>
        <w:t>4.</w:t>
      </w:r>
      <w:r w:rsidR="007D23A2" w:rsidRPr="0028726A">
        <w:rPr>
          <w:rFonts w:asciiTheme="minorHAnsi" w:hAnsiTheme="minorHAnsi"/>
          <w:b/>
          <w:color w:val="auto"/>
          <w:sz w:val="24"/>
          <w:szCs w:val="24"/>
        </w:rPr>
        <w:t>3</w:t>
      </w:r>
      <w:r w:rsidR="007D23A2" w:rsidRPr="0028726A">
        <w:rPr>
          <w:rFonts w:asciiTheme="minorHAnsi" w:hAnsiTheme="minorHAnsi"/>
          <w:b/>
          <w:color w:val="auto"/>
          <w:sz w:val="24"/>
          <w:szCs w:val="24"/>
        </w:rPr>
        <w:tab/>
      </w:r>
      <w:r w:rsidR="004B69D6" w:rsidRPr="0028726A">
        <w:rPr>
          <w:rFonts w:asciiTheme="minorHAnsi" w:hAnsiTheme="minorHAnsi"/>
          <w:b/>
          <w:color w:val="auto"/>
          <w:sz w:val="24"/>
          <w:szCs w:val="24"/>
        </w:rPr>
        <w:t>Posology</w:t>
      </w:r>
      <w:bookmarkEnd w:id="6"/>
    </w:p>
    <w:p w:rsidR="0028726A" w:rsidRPr="0028726A" w:rsidRDefault="0028726A" w:rsidP="0028726A">
      <w:pPr>
        <w:ind w:left="709" w:hanging="709"/>
      </w:pPr>
    </w:p>
    <w:p w:rsidR="004B69D6" w:rsidRPr="0028726A" w:rsidRDefault="007D23A2" w:rsidP="0028726A">
      <w:pPr>
        <w:pStyle w:val="Heading3"/>
        <w:spacing w:before="0"/>
        <w:ind w:left="709" w:hanging="709"/>
        <w:rPr>
          <w:rFonts w:asciiTheme="minorHAnsi" w:hAnsiTheme="minorHAnsi"/>
          <w:b/>
          <w:color w:val="auto"/>
        </w:rPr>
      </w:pPr>
      <w:bookmarkStart w:id="7" w:name="_Toc151020791"/>
      <w:r w:rsidRPr="0028726A">
        <w:rPr>
          <w:rFonts w:asciiTheme="minorHAnsi" w:hAnsiTheme="minorHAnsi"/>
          <w:b/>
          <w:color w:val="auto"/>
        </w:rPr>
        <w:t>4.3.1</w:t>
      </w:r>
      <w:r w:rsidRPr="0028726A">
        <w:rPr>
          <w:rFonts w:asciiTheme="minorHAnsi" w:hAnsiTheme="minorHAnsi"/>
          <w:b/>
          <w:color w:val="auto"/>
        </w:rPr>
        <w:tab/>
      </w:r>
      <w:r w:rsidR="004B69D6" w:rsidRPr="0028726A">
        <w:rPr>
          <w:rFonts w:asciiTheme="minorHAnsi" w:hAnsiTheme="minorHAnsi"/>
          <w:b/>
          <w:color w:val="auto"/>
        </w:rPr>
        <w:t>Adults</w:t>
      </w:r>
      <w:bookmarkEnd w:id="7"/>
    </w:p>
    <w:p w:rsidR="0028726A" w:rsidRDefault="0028726A" w:rsidP="0028726A">
      <w:pPr>
        <w:pStyle w:val="NormalWeb"/>
        <w:spacing w:before="0" w:beforeAutospacing="0" w:after="0" w:afterAutospacing="0"/>
        <w:ind w:left="709" w:hanging="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solution has a tonicity of approximately 295 </w:t>
      </w:r>
      <w:proofErr w:type="spellStart"/>
      <w:r w:rsidRPr="007D23A2">
        <w:rPr>
          <w:rFonts w:asciiTheme="minorHAnsi" w:hAnsiTheme="minorHAnsi" w:cstheme="minorHAnsi"/>
        </w:rPr>
        <w:t>mOsm</w:t>
      </w:r>
      <w:proofErr w:type="spellEnd"/>
      <w:r w:rsidRPr="007D23A2">
        <w:rPr>
          <w:rFonts w:asciiTheme="minorHAnsi" w:hAnsiTheme="minorHAnsi" w:cstheme="minorHAnsi"/>
        </w:rPr>
        <w:t>/l. The infusion rate and volume depend on the age, weight, clinical condition (e.g. burns, surgery, head-injury, infections), and concomitant therapy should be determined by the consulting physician experienced in intravenous fluid therapy</w:t>
      </w:r>
      <w:r w:rsidR="00A9302D" w:rsidRPr="007D23A2">
        <w:rPr>
          <w:rFonts w:asciiTheme="minorHAnsi" w:hAnsiTheme="minorHAnsi" w:cstheme="minorHAnsi"/>
        </w:rPr>
        <w:t>.</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A9302D" w:rsidRPr="0028726A" w:rsidRDefault="007D23A2" w:rsidP="0028726A">
      <w:pPr>
        <w:pStyle w:val="Heading3"/>
        <w:spacing w:before="0"/>
        <w:ind w:left="709" w:hanging="709"/>
        <w:rPr>
          <w:rFonts w:asciiTheme="minorHAnsi" w:hAnsiTheme="minorHAnsi"/>
          <w:b/>
          <w:color w:val="auto"/>
        </w:rPr>
      </w:pPr>
      <w:bookmarkStart w:id="8" w:name="_Toc151020792"/>
      <w:r w:rsidRPr="0028726A">
        <w:rPr>
          <w:rFonts w:asciiTheme="minorHAnsi" w:hAnsiTheme="minorHAnsi"/>
          <w:b/>
          <w:color w:val="auto"/>
        </w:rPr>
        <w:t>4.3.2</w:t>
      </w:r>
      <w:r w:rsidRPr="0028726A">
        <w:rPr>
          <w:rFonts w:asciiTheme="minorHAnsi" w:hAnsiTheme="minorHAnsi"/>
          <w:b/>
          <w:color w:val="auto"/>
        </w:rPr>
        <w:tab/>
      </w:r>
      <w:r w:rsidR="00A9302D" w:rsidRPr="0028726A">
        <w:rPr>
          <w:rFonts w:asciiTheme="minorHAnsi" w:hAnsiTheme="minorHAnsi"/>
          <w:b/>
          <w:color w:val="auto"/>
        </w:rPr>
        <w:t>Geriatric Patients</w:t>
      </w:r>
      <w:bookmarkEnd w:id="8"/>
    </w:p>
    <w:p w:rsidR="0028726A" w:rsidRDefault="0028726A" w:rsidP="0028726A">
      <w:pPr>
        <w:pStyle w:val="NormalWeb"/>
        <w:spacing w:before="0" w:beforeAutospacing="0" w:after="0" w:afterAutospacing="0"/>
        <w:ind w:left="709" w:hanging="709"/>
        <w:rPr>
          <w:rFonts w:asciiTheme="minorHAnsi" w:hAnsiTheme="minorHAnsi" w:cstheme="minorHAnsi"/>
        </w:rPr>
      </w:pPr>
    </w:p>
    <w:p w:rsidR="00A9302D" w:rsidRDefault="00A9302D"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When selecting the type of infusion solution and the volume/rate of infusion for a geriatric patient, consider that geriatric patients are generally more likely to have cardiac, renal, hepatic, and other diseases or concomitant drug therapy.</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4B69D6" w:rsidRPr="0028726A" w:rsidRDefault="007D23A2" w:rsidP="0028726A">
      <w:pPr>
        <w:pStyle w:val="Heading3"/>
        <w:spacing w:before="0"/>
        <w:ind w:left="709" w:hanging="709"/>
        <w:rPr>
          <w:rFonts w:asciiTheme="minorHAnsi" w:hAnsiTheme="minorHAnsi"/>
          <w:b/>
          <w:color w:val="auto"/>
        </w:rPr>
      </w:pPr>
      <w:bookmarkStart w:id="9" w:name="_Toc151020793"/>
      <w:r w:rsidRPr="0028726A">
        <w:rPr>
          <w:rFonts w:asciiTheme="minorHAnsi" w:hAnsiTheme="minorHAnsi"/>
          <w:b/>
          <w:color w:val="auto"/>
        </w:rPr>
        <w:t>4.3.3</w:t>
      </w:r>
      <w:r w:rsidRPr="0028726A">
        <w:rPr>
          <w:rFonts w:asciiTheme="minorHAnsi" w:hAnsiTheme="minorHAnsi"/>
          <w:b/>
          <w:color w:val="auto"/>
        </w:rPr>
        <w:tab/>
      </w:r>
      <w:r w:rsidR="00A9302D" w:rsidRPr="0028726A">
        <w:rPr>
          <w:rFonts w:asciiTheme="minorHAnsi" w:hAnsiTheme="minorHAnsi"/>
          <w:b/>
          <w:color w:val="auto"/>
        </w:rPr>
        <w:t>Administration rate</w:t>
      </w:r>
      <w:bookmarkEnd w:id="9"/>
    </w:p>
    <w:p w:rsidR="0028726A" w:rsidRDefault="0028726A" w:rsidP="0028726A">
      <w:pPr>
        <w:pStyle w:val="NormalWeb"/>
        <w:spacing w:before="0" w:beforeAutospacing="0" w:after="0" w:afterAutospacing="0"/>
        <w:ind w:left="709" w:hanging="709"/>
        <w:rPr>
          <w:rFonts w:asciiTheme="minorHAnsi" w:hAnsiTheme="minorHAnsi" w:cstheme="minorHAnsi"/>
        </w:rPr>
      </w:pPr>
    </w:p>
    <w:p w:rsidR="004B69D6" w:rsidRPr="007D23A2"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 infusion rate is usually 40 mL/kg/24h</w:t>
      </w:r>
      <w:r w:rsidR="00CB05CC" w:rsidRPr="007D23A2">
        <w:rPr>
          <w:rFonts w:asciiTheme="minorHAnsi" w:hAnsiTheme="minorHAnsi" w:cstheme="minorHAnsi"/>
        </w:rPr>
        <w:t>r</w:t>
      </w:r>
      <w:r w:rsidRPr="007D23A2">
        <w:rPr>
          <w:rFonts w:asciiTheme="minorHAnsi" w:hAnsiTheme="minorHAnsi" w:cstheme="minorHAnsi"/>
        </w:rPr>
        <w:t xml:space="preserve"> in adults. When used for intraoperative fluid replacement, normal rate can be higher and is about 15 mL/kg/h.</w:t>
      </w:r>
    </w:p>
    <w:p w:rsidR="004B69D6" w:rsidRPr="007D23A2" w:rsidRDefault="004B69D6" w:rsidP="0028726A">
      <w:pPr>
        <w:pStyle w:val="NormalWeb"/>
        <w:spacing w:before="0" w:beforeAutospacing="0" w:after="0" w:afterAutospacing="0"/>
        <w:ind w:left="709" w:hanging="709"/>
        <w:rPr>
          <w:rFonts w:asciiTheme="minorHAnsi" w:hAnsiTheme="minorHAnsi" w:cstheme="minorHAnsi"/>
        </w:rPr>
      </w:pPr>
    </w:p>
    <w:p w:rsidR="004B69D6" w:rsidRPr="0028726A" w:rsidRDefault="00D62305" w:rsidP="0028726A">
      <w:pPr>
        <w:pStyle w:val="Heading2"/>
        <w:spacing w:before="0"/>
        <w:ind w:left="709" w:hanging="709"/>
        <w:rPr>
          <w:rFonts w:asciiTheme="minorHAnsi" w:hAnsiTheme="minorHAnsi"/>
          <w:b/>
          <w:color w:val="auto"/>
          <w:sz w:val="24"/>
          <w:szCs w:val="24"/>
        </w:rPr>
      </w:pPr>
      <w:bookmarkStart w:id="10" w:name="_Toc151020794"/>
      <w:r w:rsidRPr="0028726A">
        <w:rPr>
          <w:rFonts w:asciiTheme="minorHAnsi" w:hAnsiTheme="minorHAnsi"/>
          <w:b/>
          <w:color w:val="auto"/>
          <w:sz w:val="24"/>
          <w:szCs w:val="24"/>
        </w:rPr>
        <w:t>4</w:t>
      </w:r>
      <w:r w:rsidR="00287083" w:rsidRPr="0028726A">
        <w:rPr>
          <w:rFonts w:asciiTheme="minorHAnsi" w:hAnsiTheme="minorHAnsi"/>
          <w:b/>
          <w:color w:val="auto"/>
          <w:sz w:val="24"/>
          <w:szCs w:val="24"/>
        </w:rPr>
        <w:t>.</w:t>
      </w:r>
      <w:r w:rsidR="007D23A2" w:rsidRPr="0028726A">
        <w:rPr>
          <w:rFonts w:asciiTheme="minorHAnsi" w:hAnsiTheme="minorHAnsi"/>
          <w:b/>
          <w:color w:val="auto"/>
          <w:sz w:val="24"/>
          <w:szCs w:val="24"/>
        </w:rPr>
        <w:t>4</w:t>
      </w:r>
      <w:r w:rsidR="007D23A2" w:rsidRPr="0028726A">
        <w:rPr>
          <w:rFonts w:asciiTheme="minorHAnsi" w:hAnsiTheme="minorHAnsi"/>
          <w:b/>
          <w:color w:val="auto"/>
          <w:sz w:val="24"/>
          <w:szCs w:val="24"/>
        </w:rPr>
        <w:tab/>
      </w:r>
      <w:r w:rsidR="004B69D6" w:rsidRPr="0028726A">
        <w:rPr>
          <w:rFonts w:asciiTheme="minorHAnsi" w:hAnsiTheme="minorHAnsi"/>
          <w:b/>
          <w:color w:val="auto"/>
          <w:sz w:val="24"/>
          <w:szCs w:val="24"/>
        </w:rPr>
        <w:t>Method of administration</w:t>
      </w:r>
      <w:bookmarkEnd w:id="10"/>
    </w:p>
    <w:p w:rsidR="0028726A" w:rsidRDefault="0028726A" w:rsidP="0028726A">
      <w:pPr>
        <w:pStyle w:val="NormalWeb"/>
        <w:spacing w:before="0" w:beforeAutospacing="0" w:after="0" w:afterAutospacing="0"/>
        <w:ind w:left="709" w:hanging="709"/>
        <w:rPr>
          <w:rFonts w:asciiTheme="minorHAnsi" w:hAnsiTheme="minorHAnsi" w:cstheme="minorHAnsi"/>
        </w:rPr>
      </w:pPr>
    </w:p>
    <w:p w:rsidR="004B69D6" w:rsidRPr="007D23A2"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 xml:space="preserve">The administration is performed by intravenous route, due to its </w:t>
      </w:r>
      <w:proofErr w:type="spellStart"/>
      <w:r w:rsidRPr="007D23A2">
        <w:rPr>
          <w:rFonts w:asciiTheme="minorHAnsi" w:hAnsiTheme="minorHAnsi" w:cstheme="minorHAnsi"/>
        </w:rPr>
        <w:t>iso</w:t>
      </w:r>
      <w:proofErr w:type="spellEnd"/>
      <w:r w:rsidRPr="007D23A2">
        <w:rPr>
          <w:rFonts w:asciiTheme="minorHAnsi" w:hAnsiTheme="minorHAnsi" w:cstheme="minorHAnsi"/>
        </w:rPr>
        <w:t>-osmolality, this solution can be administered through a peripheral vein.</w:t>
      </w:r>
    </w:p>
    <w:p w:rsidR="0028726A" w:rsidRDefault="0028726A" w:rsidP="0028726A">
      <w:pPr>
        <w:pStyle w:val="NormalWeb"/>
        <w:spacing w:before="0" w:beforeAutospacing="0" w:after="0" w:afterAutospacing="0"/>
        <w:ind w:left="709"/>
        <w:rPr>
          <w:rFonts w:asciiTheme="minorHAnsi" w:hAnsiTheme="minorHAnsi" w:cstheme="minorHAnsi"/>
        </w:rPr>
      </w:pPr>
    </w:p>
    <w:p w:rsidR="004B69D6" w:rsidRPr="007D23A2"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This solution can be administered before, during or after a blood transfusion.</w:t>
      </w:r>
    </w:p>
    <w:p w:rsidR="00A9302D" w:rsidRPr="007D23A2" w:rsidRDefault="00A9302D" w:rsidP="0028726A">
      <w:pPr>
        <w:pStyle w:val="NormalWeb"/>
        <w:spacing w:before="0" w:beforeAutospacing="0" w:after="0" w:afterAutospacing="0"/>
        <w:ind w:left="709" w:hanging="709"/>
        <w:rPr>
          <w:rFonts w:asciiTheme="minorHAnsi" w:hAnsiTheme="minorHAnsi" w:cstheme="minorHAnsi"/>
          <w:b/>
        </w:rPr>
      </w:pPr>
    </w:p>
    <w:p w:rsidR="004B69D6" w:rsidRPr="0028726A" w:rsidRDefault="007D23A2" w:rsidP="0028726A">
      <w:pPr>
        <w:pStyle w:val="Heading3"/>
        <w:spacing w:before="0"/>
        <w:ind w:left="709" w:hanging="709"/>
        <w:rPr>
          <w:rFonts w:asciiTheme="minorHAnsi" w:hAnsiTheme="minorHAnsi"/>
          <w:b/>
          <w:color w:val="auto"/>
        </w:rPr>
      </w:pPr>
      <w:bookmarkStart w:id="11" w:name="_Toc151020795"/>
      <w:r w:rsidRPr="0028726A">
        <w:rPr>
          <w:rFonts w:asciiTheme="minorHAnsi" w:hAnsiTheme="minorHAnsi"/>
          <w:b/>
          <w:color w:val="auto"/>
        </w:rPr>
        <w:t>4.4.1</w:t>
      </w:r>
      <w:r w:rsidRPr="0028726A">
        <w:rPr>
          <w:rFonts w:asciiTheme="minorHAnsi" w:hAnsiTheme="minorHAnsi"/>
          <w:b/>
          <w:color w:val="auto"/>
        </w:rPr>
        <w:tab/>
      </w:r>
      <w:r w:rsidR="00A9302D" w:rsidRPr="0028726A">
        <w:rPr>
          <w:rFonts w:asciiTheme="minorHAnsi" w:hAnsiTheme="minorHAnsi"/>
          <w:b/>
          <w:color w:val="auto"/>
        </w:rPr>
        <w:t>Preparation for administration</w:t>
      </w:r>
      <w:bookmarkEnd w:id="11"/>
    </w:p>
    <w:p w:rsidR="0028726A" w:rsidRDefault="0028726A" w:rsidP="0028726A">
      <w:pPr>
        <w:pStyle w:val="NormalWeb"/>
        <w:spacing w:before="0" w:beforeAutospacing="0" w:after="0" w:afterAutospacing="0"/>
        <w:ind w:left="709" w:hanging="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 solution should be administered with sterile equipment using an aseptic technique. The equipment should be primed with the solution in order to prevent air entering the system.</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lastRenderedPageBreak/>
        <w:t>The solution should be inspected visually for particulate matter and discoloration prior to administration whenever solution and container permit. Do not administer unless the solution is clear and the seal is intact.</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Do not remove unit from overwrap until ready for use. The inner bag maintains the sterility of the solution. Administer immediately following the insertion of infusion set.</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Do not use plastic containers in series connections. Such use could result in air embolism due to residual air being drawn from the primary container before the administration of the fluid from the secondary container is completed. Pressurising intravenous solutions contained in flexible plastics containers to increase flow rates can result in air embolism if the residual air in the container is not fully evacuated prior to administration.</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Use of a vented intravenous administration set with the vent in the open position could result in air embolism. Vented intravenous administration sets with the vent in the open position should not be used with flexible plastic containers.</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Additives may be introduced before infusion or during infusion through the injection site.</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4B69D6" w:rsidRPr="0028726A" w:rsidRDefault="00D62305" w:rsidP="0028726A">
      <w:pPr>
        <w:pStyle w:val="Heading2"/>
        <w:spacing w:before="0"/>
        <w:ind w:left="709" w:hanging="709"/>
        <w:rPr>
          <w:rFonts w:asciiTheme="minorHAnsi" w:hAnsiTheme="minorHAnsi"/>
          <w:b/>
          <w:color w:val="auto"/>
          <w:sz w:val="24"/>
          <w:szCs w:val="24"/>
        </w:rPr>
      </w:pPr>
      <w:bookmarkStart w:id="12" w:name="_Toc151020796"/>
      <w:r w:rsidRPr="0028726A">
        <w:rPr>
          <w:rFonts w:asciiTheme="minorHAnsi" w:hAnsiTheme="minorHAnsi"/>
          <w:b/>
          <w:color w:val="auto"/>
          <w:sz w:val="24"/>
          <w:szCs w:val="24"/>
        </w:rPr>
        <w:t>4</w:t>
      </w:r>
      <w:r w:rsidR="00287083" w:rsidRPr="0028726A">
        <w:rPr>
          <w:rFonts w:asciiTheme="minorHAnsi" w:hAnsiTheme="minorHAnsi"/>
          <w:b/>
          <w:color w:val="auto"/>
          <w:sz w:val="24"/>
          <w:szCs w:val="24"/>
        </w:rPr>
        <w:t>.</w:t>
      </w:r>
      <w:r w:rsidR="007D23A2" w:rsidRPr="0028726A">
        <w:rPr>
          <w:rFonts w:asciiTheme="minorHAnsi" w:hAnsiTheme="minorHAnsi"/>
          <w:b/>
          <w:color w:val="auto"/>
          <w:sz w:val="24"/>
          <w:szCs w:val="24"/>
        </w:rPr>
        <w:t>5</w:t>
      </w:r>
      <w:r w:rsidR="007D23A2" w:rsidRPr="0028726A">
        <w:rPr>
          <w:rFonts w:asciiTheme="minorHAnsi" w:hAnsiTheme="minorHAnsi"/>
          <w:b/>
          <w:color w:val="auto"/>
          <w:sz w:val="24"/>
          <w:szCs w:val="24"/>
        </w:rPr>
        <w:tab/>
      </w:r>
      <w:r w:rsidR="004B69D6" w:rsidRPr="0028726A">
        <w:rPr>
          <w:rFonts w:asciiTheme="minorHAnsi" w:hAnsiTheme="minorHAnsi"/>
          <w:b/>
          <w:color w:val="auto"/>
          <w:sz w:val="24"/>
          <w:szCs w:val="24"/>
        </w:rPr>
        <w:t>Contraindications</w:t>
      </w:r>
      <w:bookmarkEnd w:id="12"/>
    </w:p>
    <w:p w:rsidR="007D23A2" w:rsidRPr="007D23A2" w:rsidRDefault="007D23A2" w:rsidP="0028726A">
      <w:pPr>
        <w:pStyle w:val="Heading3"/>
        <w:spacing w:before="0"/>
        <w:ind w:left="709" w:hanging="709"/>
        <w:rPr>
          <w:rFonts w:asciiTheme="minorHAnsi" w:hAnsiTheme="minorHAnsi"/>
          <w:color w:val="auto"/>
        </w:rPr>
      </w:pPr>
    </w:p>
    <w:p w:rsidR="00E031C5" w:rsidRPr="0028726A" w:rsidRDefault="007D23A2" w:rsidP="0028726A">
      <w:pPr>
        <w:pStyle w:val="Heading3"/>
        <w:spacing w:before="0"/>
        <w:ind w:left="709" w:hanging="709"/>
        <w:rPr>
          <w:rFonts w:asciiTheme="minorHAnsi" w:hAnsiTheme="minorHAnsi"/>
          <w:b/>
          <w:color w:val="auto"/>
        </w:rPr>
      </w:pPr>
      <w:bookmarkStart w:id="13" w:name="_Toc151020797"/>
      <w:r w:rsidRPr="0028726A">
        <w:rPr>
          <w:rFonts w:asciiTheme="minorHAnsi" w:hAnsiTheme="minorHAnsi"/>
          <w:b/>
          <w:color w:val="auto"/>
        </w:rPr>
        <w:t>4.5.1</w:t>
      </w:r>
      <w:r w:rsidRPr="0028726A">
        <w:rPr>
          <w:rFonts w:asciiTheme="minorHAnsi" w:hAnsiTheme="minorHAnsi"/>
          <w:b/>
          <w:color w:val="auto"/>
        </w:rPr>
        <w:tab/>
      </w:r>
      <w:r w:rsidR="00A9302D" w:rsidRPr="0028726A">
        <w:rPr>
          <w:rFonts w:asciiTheme="minorHAnsi" w:hAnsiTheme="minorHAnsi"/>
          <w:b/>
          <w:color w:val="auto"/>
        </w:rPr>
        <w:t>Absolute contraindication</w:t>
      </w:r>
      <w:bookmarkEnd w:id="13"/>
    </w:p>
    <w:p w:rsidR="0028726A" w:rsidRPr="0028726A" w:rsidRDefault="0028726A" w:rsidP="0028726A">
      <w:pPr>
        <w:ind w:left="709" w:hanging="709"/>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Hypersensitivity to the active substances and excipients</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p w:rsidR="00E031C5" w:rsidRPr="0028726A" w:rsidRDefault="007D23A2" w:rsidP="0028726A">
      <w:pPr>
        <w:pStyle w:val="Heading3"/>
        <w:spacing w:before="0"/>
        <w:ind w:left="709" w:hanging="709"/>
        <w:rPr>
          <w:rFonts w:asciiTheme="minorHAnsi" w:hAnsiTheme="minorHAnsi"/>
          <w:b/>
          <w:color w:val="auto"/>
        </w:rPr>
      </w:pPr>
      <w:bookmarkStart w:id="14" w:name="_Toc151020798"/>
      <w:r w:rsidRPr="0028726A">
        <w:rPr>
          <w:rFonts w:asciiTheme="minorHAnsi" w:hAnsiTheme="minorHAnsi"/>
          <w:b/>
          <w:color w:val="auto"/>
        </w:rPr>
        <w:t>4.5.2</w:t>
      </w:r>
      <w:r w:rsidRPr="0028726A">
        <w:rPr>
          <w:rFonts w:asciiTheme="minorHAnsi" w:hAnsiTheme="minorHAnsi"/>
          <w:b/>
          <w:color w:val="auto"/>
        </w:rPr>
        <w:tab/>
      </w:r>
      <w:r w:rsidR="00A9302D" w:rsidRPr="0028726A">
        <w:rPr>
          <w:rFonts w:asciiTheme="minorHAnsi" w:hAnsiTheme="minorHAnsi"/>
          <w:b/>
          <w:color w:val="auto"/>
        </w:rPr>
        <w:t>Relative contraindications</w:t>
      </w:r>
      <w:bookmarkEnd w:id="14"/>
    </w:p>
    <w:p w:rsidR="0028726A" w:rsidRPr="0028726A" w:rsidRDefault="0028726A" w:rsidP="0028726A">
      <w:pPr>
        <w:ind w:left="709" w:hanging="709"/>
      </w:pPr>
    </w:p>
    <w:p w:rsidR="00E031C5" w:rsidRPr="007D23A2" w:rsidRDefault="00E031C5"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Hyperkalaemia</w:t>
      </w:r>
    </w:p>
    <w:p w:rsidR="00E031C5" w:rsidRPr="007D23A2" w:rsidRDefault="00E031C5"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Renal failure</w:t>
      </w:r>
    </w:p>
    <w:p w:rsidR="00E031C5" w:rsidRPr="007D23A2" w:rsidRDefault="00E031C5"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Heart block</w:t>
      </w:r>
    </w:p>
    <w:p w:rsidR="00E031C5" w:rsidRPr="007D23A2" w:rsidRDefault="00E031C5"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Metabolic or respiratory alkalosis</w:t>
      </w:r>
    </w:p>
    <w:p w:rsidR="00E031C5" w:rsidRPr="007D23A2" w:rsidRDefault="00E031C5" w:rsidP="0028726A">
      <w:pPr>
        <w:pStyle w:val="NormalWeb"/>
        <w:numPr>
          <w:ilvl w:val="0"/>
          <w:numId w:val="22"/>
        </w:numPr>
        <w:spacing w:before="0" w:beforeAutospacing="0" w:after="0" w:afterAutospacing="0"/>
        <w:ind w:left="1134" w:hanging="425"/>
        <w:rPr>
          <w:rFonts w:asciiTheme="minorHAnsi" w:hAnsiTheme="minorHAnsi" w:cstheme="minorHAnsi"/>
        </w:rPr>
      </w:pPr>
      <w:proofErr w:type="spellStart"/>
      <w:r w:rsidRPr="007D23A2">
        <w:rPr>
          <w:rFonts w:asciiTheme="minorHAnsi" w:hAnsiTheme="minorHAnsi" w:cstheme="minorHAnsi"/>
        </w:rPr>
        <w:t>Hypochlorhydria</w:t>
      </w:r>
      <w:proofErr w:type="spellEnd"/>
    </w:p>
    <w:p w:rsidR="0028726A" w:rsidRDefault="0028726A" w:rsidP="0028726A">
      <w:pPr>
        <w:pStyle w:val="Heading3"/>
        <w:spacing w:before="0"/>
        <w:ind w:left="709" w:hanging="709"/>
        <w:rPr>
          <w:rFonts w:asciiTheme="minorHAnsi" w:hAnsiTheme="minorHAnsi"/>
          <w:color w:val="auto"/>
        </w:rPr>
      </w:pPr>
    </w:p>
    <w:p w:rsidR="0028726A" w:rsidRDefault="0028726A">
      <w:pPr>
        <w:spacing w:after="160" w:line="259" w:lineRule="auto"/>
        <w:rPr>
          <w:rFonts w:eastAsiaTheme="majorEastAsia" w:cstheme="majorBidi"/>
          <w:b/>
        </w:rPr>
      </w:pPr>
      <w:bookmarkStart w:id="15" w:name="_Toc151020799"/>
      <w:r>
        <w:rPr>
          <w:b/>
        </w:rPr>
        <w:br w:type="page"/>
      </w:r>
    </w:p>
    <w:p w:rsidR="004B69D6" w:rsidRPr="0028726A" w:rsidRDefault="007D23A2" w:rsidP="0028726A">
      <w:pPr>
        <w:pStyle w:val="Heading3"/>
        <w:spacing w:before="0"/>
        <w:ind w:left="709" w:hanging="709"/>
        <w:rPr>
          <w:rFonts w:asciiTheme="minorHAnsi" w:hAnsiTheme="minorHAnsi"/>
          <w:b/>
          <w:color w:val="auto"/>
        </w:rPr>
      </w:pPr>
      <w:r w:rsidRPr="0028726A">
        <w:rPr>
          <w:rFonts w:asciiTheme="minorHAnsi" w:hAnsiTheme="minorHAnsi"/>
          <w:b/>
          <w:color w:val="auto"/>
        </w:rPr>
        <w:lastRenderedPageBreak/>
        <w:t>4</w:t>
      </w:r>
      <w:r w:rsidR="00287083" w:rsidRPr="0028726A">
        <w:rPr>
          <w:rFonts w:asciiTheme="minorHAnsi" w:hAnsiTheme="minorHAnsi"/>
          <w:b/>
          <w:color w:val="auto"/>
        </w:rPr>
        <w:t>.</w:t>
      </w:r>
      <w:r w:rsidRPr="0028726A">
        <w:rPr>
          <w:rFonts w:asciiTheme="minorHAnsi" w:hAnsiTheme="minorHAnsi"/>
          <w:b/>
          <w:color w:val="auto"/>
        </w:rPr>
        <w:t>6</w:t>
      </w:r>
      <w:r w:rsidRPr="0028726A">
        <w:rPr>
          <w:rFonts w:asciiTheme="minorHAnsi" w:hAnsiTheme="minorHAnsi"/>
          <w:b/>
          <w:color w:val="auto"/>
        </w:rPr>
        <w:tab/>
      </w:r>
      <w:r w:rsidR="004B69D6" w:rsidRPr="0028726A">
        <w:rPr>
          <w:rFonts w:asciiTheme="minorHAnsi" w:hAnsiTheme="minorHAnsi"/>
          <w:b/>
          <w:color w:val="auto"/>
        </w:rPr>
        <w:t>Cautions</w:t>
      </w:r>
      <w:bookmarkEnd w:id="15"/>
    </w:p>
    <w:p w:rsidR="0028726A" w:rsidRPr="0028726A" w:rsidRDefault="0028726A" w:rsidP="0028726A">
      <w:pPr>
        <w:ind w:left="709" w:hanging="709"/>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 use of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is cautioned in the following groups of patients:</w:t>
      </w:r>
    </w:p>
    <w:p w:rsidR="0028726A" w:rsidRPr="007D23A2" w:rsidRDefault="0028726A" w:rsidP="0028726A">
      <w:pPr>
        <w:pStyle w:val="NormalWeb"/>
        <w:spacing w:before="0" w:beforeAutospacing="0" w:after="0" w:afterAutospacing="0"/>
        <w:ind w:left="709" w:hanging="709"/>
        <w:rPr>
          <w:rFonts w:asciiTheme="minorHAnsi" w:hAnsiTheme="minorHAnsi" w:cstheme="minorHAnsi"/>
        </w:rPr>
      </w:pPr>
    </w:p>
    <w:tbl>
      <w:tblPr>
        <w:tblStyle w:val="TableGrid"/>
        <w:tblW w:w="0" w:type="auto"/>
        <w:tblLook w:val="04A0" w:firstRow="1" w:lastRow="0" w:firstColumn="1" w:lastColumn="0" w:noHBand="0" w:noVBand="1"/>
      </w:tblPr>
      <w:tblGrid>
        <w:gridCol w:w="2547"/>
        <w:gridCol w:w="6469"/>
      </w:tblGrid>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 xml:space="preserve">Use in Patients with or at Risk for and from </w:t>
            </w:r>
            <w:proofErr w:type="spellStart"/>
            <w:r w:rsidRPr="007D23A2">
              <w:rPr>
                <w:rFonts w:asciiTheme="minorHAnsi" w:hAnsiTheme="minorHAnsi" w:cstheme="minorHAnsi"/>
              </w:rPr>
              <w:t>Hypermagnaesemia</w:t>
            </w:r>
            <w:proofErr w:type="spellEnd"/>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 xml:space="preserve">Parenteral magnesium salts should be used with caution in less severe degrees of renal impairment and in patients with myasthenia gravis. Patients should be monitored for clinical signs of excess magnesium, particularly when being treated for eclampsia. </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Use in patients with Hypocalcaemia</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contains no calcium, and an increase in plasma pH due to its alkalinising effect may lower the concentration of ionised (not protein-bound) calcium.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should be administered with particular caution to patients with hypocalcaemia.</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Use in Patients with or at Risk for Hyperkalaemia</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Solutions containing potassium salts should be administered with caution to patients with cardiac disease or conditions predisposing to hyperkalaemia such as renal or adrenocortical insufficiency, acute dehydration, or extensive tissue destruction as occurs with severe burns. The plasma potassium level of the patient should be particularly closely monitored in patients at risk of hyperkalaemia.</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Use in patients with potassium deficiency</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Although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solution has a potassium concentration similar to the concentration in plasma, it is insufficient to produce a useful effect in case of severe potassium deficiency and therefore it should not be used for this purpose.</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Risk of Fluid and/or Solute Overload and Electrolyte Disturbances</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The patient's clinical status and laboratory parameters (fluid balance, blood and urine electrolytes as well as acid-base balance) must be monitored during use of this solution.</w:t>
            </w:r>
          </w:p>
          <w:p w:rsidR="0028726A" w:rsidRPr="007D23A2" w:rsidRDefault="0028726A" w:rsidP="0028726A">
            <w:pPr>
              <w:pStyle w:val="NormalWeb"/>
              <w:spacing w:before="0" w:beforeAutospacing="0" w:after="0" w:afterAutospacing="0"/>
              <w:ind w:left="22"/>
              <w:rPr>
                <w:rFonts w:asciiTheme="minorHAnsi" w:hAnsiTheme="minorHAnsi" w:cstheme="minorHAnsi"/>
              </w:rPr>
            </w:pPr>
          </w:p>
          <w:p w:rsidR="004B69D6"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Depending on the volume and rate of infusion, intravenous administration of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can cause fluid and/or solute overload resulting in </w:t>
            </w:r>
            <w:proofErr w:type="spellStart"/>
            <w:r w:rsidRPr="007D23A2">
              <w:rPr>
                <w:rFonts w:asciiTheme="minorHAnsi" w:hAnsiTheme="minorHAnsi" w:cstheme="minorHAnsi"/>
              </w:rPr>
              <w:t>overhydration</w:t>
            </w:r>
            <w:proofErr w:type="spellEnd"/>
            <w:r w:rsidRPr="007D23A2">
              <w:rPr>
                <w:rFonts w:asciiTheme="minorHAnsi" w:hAnsiTheme="minorHAnsi" w:cstheme="minorHAnsi"/>
              </w:rPr>
              <w:t xml:space="preserve">/ </w:t>
            </w:r>
            <w:proofErr w:type="spellStart"/>
            <w:r w:rsidRPr="007D23A2">
              <w:rPr>
                <w:rFonts w:asciiTheme="minorHAnsi" w:hAnsiTheme="minorHAnsi" w:cstheme="minorHAnsi"/>
              </w:rPr>
              <w:t>hypervolaemia</w:t>
            </w:r>
            <w:proofErr w:type="spellEnd"/>
            <w:r w:rsidRPr="007D23A2">
              <w:rPr>
                <w:rFonts w:asciiTheme="minorHAnsi" w:hAnsiTheme="minorHAnsi" w:cstheme="minorHAnsi"/>
              </w:rPr>
              <w:t xml:space="preserve"> therefore high volume infusion must be used under specific monitoring in patients with cardiac, pulmonary or renal failure.</w:t>
            </w:r>
          </w:p>
          <w:p w:rsidR="0028726A" w:rsidRPr="007D23A2" w:rsidRDefault="0028726A" w:rsidP="0028726A">
            <w:pPr>
              <w:pStyle w:val="NormalWeb"/>
              <w:spacing w:before="0" w:beforeAutospacing="0" w:after="0" w:afterAutospacing="0"/>
              <w:ind w:left="22"/>
              <w:rPr>
                <w:rFonts w:asciiTheme="minorHAnsi" w:hAnsiTheme="minorHAnsi" w:cstheme="minorHAnsi"/>
              </w:rPr>
            </w:pPr>
          </w:p>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High volume infusion must be used under specific monitoring in patients with cardiac or pulmonary failure and in patients with non-osmotic vasopressin release (including SIADH), due to the risk of hospital-acquired hyponatraemia.</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Hyponatraemia</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Patients with non-osmotic vasopressin release (e.g. in acute illness, pain, post-operative stress, infections, burns, and CNS diseases), patients with heart-, liver- and kidney diseases and patients exposed to vasopressin agonists are at particular risk of acute hyponatraemia upon infusion of hypotonic fluids.</w:t>
            </w:r>
          </w:p>
          <w:p w:rsidR="0028726A" w:rsidRPr="007D23A2" w:rsidRDefault="0028726A" w:rsidP="0028726A">
            <w:pPr>
              <w:pStyle w:val="NormalWeb"/>
              <w:spacing w:before="0" w:beforeAutospacing="0" w:after="0" w:afterAutospacing="0"/>
              <w:ind w:left="22"/>
              <w:rPr>
                <w:rFonts w:asciiTheme="minorHAnsi" w:hAnsiTheme="minorHAnsi" w:cstheme="minorHAnsi"/>
              </w:rPr>
            </w:pPr>
          </w:p>
          <w:p w:rsidR="004B69D6"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 xml:space="preserve">Acute hyponatraemia can lead to acute </w:t>
            </w:r>
            <w:proofErr w:type="spellStart"/>
            <w:r w:rsidRPr="007D23A2">
              <w:rPr>
                <w:rFonts w:asciiTheme="minorHAnsi" w:hAnsiTheme="minorHAnsi" w:cstheme="minorHAnsi"/>
              </w:rPr>
              <w:t>hyponatraemic</w:t>
            </w:r>
            <w:proofErr w:type="spellEnd"/>
            <w:r w:rsidRPr="007D23A2">
              <w:rPr>
                <w:rFonts w:asciiTheme="minorHAnsi" w:hAnsiTheme="minorHAnsi" w:cstheme="minorHAnsi"/>
              </w:rPr>
              <w:t xml:space="preserve"> encephalopathy (cerebral oedema) characterised by headache, </w:t>
            </w:r>
            <w:r w:rsidRPr="007D23A2">
              <w:rPr>
                <w:rFonts w:asciiTheme="minorHAnsi" w:hAnsiTheme="minorHAnsi" w:cstheme="minorHAnsi"/>
              </w:rPr>
              <w:lastRenderedPageBreak/>
              <w:t>nausea, seizures, lethargy and vomiting. Patients with cerebral oedema are at particular risk of severe, irreversible and life-threatening brain injury.</w:t>
            </w:r>
          </w:p>
          <w:p w:rsidR="0028726A" w:rsidRPr="007D23A2" w:rsidRDefault="0028726A" w:rsidP="0028726A">
            <w:pPr>
              <w:pStyle w:val="NormalWeb"/>
              <w:spacing w:before="0" w:beforeAutospacing="0" w:after="0" w:afterAutospacing="0"/>
              <w:ind w:left="22"/>
              <w:rPr>
                <w:rFonts w:asciiTheme="minorHAnsi" w:hAnsiTheme="minorHAnsi" w:cstheme="minorHAnsi"/>
              </w:rPr>
            </w:pPr>
          </w:p>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Children, women in the fertile age and patients with reduced cerebral compliance (e.g. meningitis, intracranial bleeding, cerebral contusion and brain oedema) are at particular risk of the severe and life-threatening brain swelling caused by acute hyponatraemia.</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lastRenderedPageBreak/>
              <w:t xml:space="preserve">Use in Patients with </w:t>
            </w:r>
            <w:proofErr w:type="spellStart"/>
            <w:r w:rsidRPr="007D23A2">
              <w:rPr>
                <w:rFonts w:asciiTheme="minorHAnsi" w:hAnsiTheme="minorHAnsi" w:cstheme="minorHAnsi"/>
              </w:rPr>
              <w:t>Hypervolaemia</w:t>
            </w:r>
            <w:proofErr w:type="spellEnd"/>
            <w:r w:rsidRPr="007D23A2">
              <w:rPr>
                <w:rFonts w:asciiTheme="minorHAnsi" w:hAnsiTheme="minorHAnsi" w:cstheme="minorHAnsi"/>
              </w:rPr>
              <w:t xml:space="preserve"> or </w:t>
            </w:r>
            <w:proofErr w:type="spellStart"/>
            <w:r w:rsidRPr="007D23A2">
              <w:rPr>
                <w:rFonts w:asciiTheme="minorHAnsi" w:hAnsiTheme="minorHAnsi" w:cstheme="minorHAnsi"/>
              </w:rPr>
              <w:t>Overhydration</w:t>
            </w:r>
            <w:proofErr w:type="spellEnd"/>
            <w:r w:rsidRPr="007D23A2">
              <w:rPr>
                <w:rFonts w:asciiTheme="minorHAnsi" w:hAnsiTheme="minorHAnsi" w:cstheme="minorHAnsi"/>
              </w:rPr>
              <w:t>, or Conditions that Cause Sodium Retention and Oedema</w:t>
            </w: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should be administered with particular caution to </w:t>
            </w:r>
            <w:proofErr w:type="spellStart"/>
            <w:r w:rsidRPr="007D23A2">
              <w:rPr>
                <w:rFonts w:asciiTheme="minorHAnsi" w:hAnsiTheme="minorHAnsi" w:cstheme="minorHAnsi"/>
              </w:rPr>
              <w:t>hypervolaemic</w:t>
            </w:r>
            <w:proofErr w:type="spellEnd"/>
            <w:r w:rsidRPr="007D23A2">
              <w:rPr>
                <w:rFonts w:asciiTheme="minorHAnsi" w:hAnsiTheme="minorHAnsi" w:cstheme="minorHAnsi"/>
              </w:rPr>
              <w:t xml:space="preserve"> or overhydrated patients.</w:t>
            </w:r>
          </w:p>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 xml:space="preserve">Solutions containing sodium chloride should be carefully administered to patients with hypertension, heart failure, peripheral or pulmonary </w:t>
            </w:r>
            <w:r w:rsidR="008C585C" w:rsidRPr="007D23A2">
              <w:rPr>
                <w:rFonts w:asciiTheme="minorHAnsi" w:hAnsiTheme="minorHAnsi" w:cstheme="minorHAnsi"/>
              </w:rPr>
              <w:t>o</w:t>
            </w:r>
            <w:r w:rsidRPr="007D23A2">
              <w:rPr>
                <w:rFonts w:asciiTheme="minorHAnsi" w:hAnsiTheme="minorHAnsi" w:cstheme="minorHAnsi"/>
              </w:rPr>
              <w:t xml:space="preserve">edema, impaired renal function, pre-eclampsia, </w:t>
            </w:r>
            <w:proofErr w:type="spellStart"/>
            <w:r w:rsidRPr="007D23A2">
              <w:rPr>
                <w:rFonts w:asciiTheme="minorHAnsi" w:hAnsiTheme="minorHAnsi" w:cstheme="minorHAnsi"/>
              </w:rPr>
              <w:t>aldosteronism</w:t>
            </w:r>
            <w:proofErr w:type="spellEnd"/>
            <w:r w:rsidRPr="007D23A2">
              <w:rPr>
                <w:rFonts w:asciiTheme="minorHAnsi" w:hAnsiTheme="minorHAnsi" w:cstheme="minorHAnsi"/>
              </w:rPr>
              <w:t>, or other conditions a</w:t>
            </w:r>
            <w:r w:rsidR="0028726A">
              <w:rPr>
                <w:rFonts w:asciiTheme="minorHAnsi" w:hAnsiTheme="minorHAnsi" w:cstheme="minorHAnsi"/>
              </w:rPr>
              <w:t>ssociated with sodium retention.</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Use in Patients with Severe Renal Impairment</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should be administered with particular caution to patients with severe renal impairment. In such patients administration of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may result in sodium and/or potassium or magnesium retention.</w:t>
            </w:r>
          </w:p>
        </w:tc>
      </w:tr>
      <w:tr w:rsidR="007D23A2" w:rsidRPr="007D23A2" w:rsidTr="0028726A">
        <w:tc>
          <w:tcPr>
            <w:tcW w:w="2547"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Use in Patients with or at Risk for Alkalosis</w:t>
            </w:r>
          </w:p>
          <w:p w:rsidR="004B69D6" w:rsidRPr="007D23A2" w:rsidRDefault="004B69D6" w:rsidP="0028726A">
            <w:pPr>
              <w:pStyle w:val="NormalWeb"/>
              <w:spacing w:before="0" w:beforeAutospacing="0" w:after="0" w:afterAutospacing="0"/>
              <w:ind w:left="22"/>
              <w:rPr>
                <w:rFonts w:asciiTheme="minorHAnsi" w:hAnsiTheme="minorHAnsi" w:cstheme="minorHAnsi"/>
              </w:rPr>
            </w:pPr>
          </w:p>
        </w:tc>
        <w:tc>
          <w:tcPr>
            <w:tcW w:w="6469" w:type="dxa"/>
          </w:tcPr>
          <w:p w:rsidR="004B69D6" w:rsidRPr="007D23A2" w:rsidRDefault="004B69D6" w:rsidP="0028726A">
            <w:pPr>
              <w:pStyle w:val="NormalWeb"/>
              <w:spacing w:before="0" w:beforeAutospacing="0" w:after="0" w:afterAutospacing="0"/>
              <w:ind w:left="22"/>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should be administered with particular caution to patients with alkalosis or at risk for alkalosis. Excess administration of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can result in metabolic alkalosis because of the presence of acetate and gluconate ions.</w:t>
            </w:r>
          </w:p>
        </w:tc>
      </w:tr>
    </w:tbl>
    <w:p w:rsidR="004B69D6" w:rsidRPr="007D23A2" w:rsidRDefault="004B69D6" w:rsidP="0028726A">
      <w:pPr>
        <w:pStyle w:val="NormalWeb"/>
        <w:spacing w:before="0" w:beforeAutospacing="0" w:after="0" w:afterAutospacing="0"/>
        <w:ind w:left="709" w:hanging="709"/>
        <w:rPr>
          <w:rFonts w:asciiTheme="minorHAnsi" w:hAnsiTheme="minorHAnsi" w:cstheme="minorHAnsi"/>
        </w:rPr>
      </w:pPr>
    </w:p>
    <w:p w:rsidR="004B69D6" w:rsidRPr="0028726A" w:rsidRDefault="00D62305" w:rsidP="0028726A">
      <w:pPr>
        <w:pStyle w:val="Heading2"/>
        <w:spacing w:before="0"/>
        <w:ind w:left="709" w:hanging="709"/>
        <w:rPr>
          <w:rFonts w:asciiTheme="minorHAnsi" w:hAnsiTheme="minorHAnsi"/>
          <w:b/>
          <w:color w:val="auto"/>
          <w:sz w:val="24"/>
          <w:szCs w:val="24"/>
        </w:rPr>
      </w:pPr>
      <w:bookmarkStart w:id="16" w:name="_Toc151020800"/>
      <w:r w:rsidRPr="0028726A">
        <w:rPr>
          <w:rFonts w:asciiTheme="minorHAnsi" w:hAnsiTheme="minorHAnsi"/>
          <w:b/>
          <w:color w:val="auto"/>
          <w:sz w:val="24"/>
          <w:szCs w:val="24"/>
        </w:rPr>
        <w:t>4</w:t>
      </w:r>
      <w:r w:rsidR="00287083" w:rsidRPr="0028726A">
        <w:rPr>
          <w:rFonts w:asciiTheme="minorHAnsi" w:hAnsiTheme="minorHAnsi"/>
          <w:b/>
          <w:color w:val="auto"/>
          <w:sz w:val="24"/>
          <w:szCs w:val="24"/>
        </w:rPr>
        <w:t>.</w:t>
      </w:r>
      <w:r w:rsidR="007D23A2" w:rsidRPr="0028726A">
        <w:rPr>
          <w:rFonts w:asciiTheme="minorHAnsi" w:hAnsiTheme="minorHAnsi"/>
          <w:b/>
          <w:color w:val="auto"/>
          <w:sz w:val="24"/>
          <w:szCs w:val="24"/>
        </w:rPr>
        <w:t>7</w:t>
      </w:r>
      <w:r w:rsidR="004B69D6" w:rsidRPr="0028726A">
        <w:rPr>
          <w:rFonts w:asciiTheme="minorHAnsi" w:hAnsiTheme="minorHAnsi"/>
          <w:b/>
          <w:color w:val="auto"/>
          <w:sz w:val="24"/>
          <w:szCs w:val="24"/>
        </w:rPr>
        <w:t xml:space="preserve"> </w:t>
      </w:r>
      <w:r w:rsidR="004B69D6" w:rsidRPr="0028726A">
        <w:rPr>
          <w:rFonts w:asciiTheme="minorHAnsi" w:hAnsiTheme="minorHAnsi"/>
          <w:b/>
          <w:color w:val="auto"/>
          <w:sz w:val="24"/>
          <w:szCs w:val="24"/>
        </w:rPr>
        <w:tab/>
        <w:t>Adverse effects</w:t>
      </w:r>
      <w:bookmarkEnd w:id="16"/>
    </w:p>
    <w:p w:rsidR="0028726A" w:rsidRDefault="0028726A" w:rsidP="0028726A">
      <w:pPr>
        <w:pStyle w:val="NormalWeb"/>
        <w:spacing w:before="0" w:beforeAutospacing="0" w:after="0" w:afterAutospacing="0"/>
        <w:ind w:left="709" w:hanging="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 infusion must be stopped immediately if any signs or symptoms of a suspected hypersensitivity reaction develop. Appropriate therapeutic countermeasures must be instituted as clinically indicated.</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may also cause </w:t>
      </w:r>
      <w:proofErr w:type="spellStart"/>
      <w:r w:rsidRPr="007D23A2">
        <w:rPr>
          <w:rFonts w:asciiTheme="minorHAnsi" w:hAnsiTheme="minorHAnsi" w:cstheme="minorHAnsi"/>
        </w:rPr>
        <w:t>hypervolaemia</w:t>
      </w:r>
      <w:proofErr w:type="spellEnd"/>
      <w:r w:rsidRPr="007D23A2">
        <w:rPr>
          <w:rFonts w:asciiTheme="minorHAnsi" w:hAnsiTheme="minorHAnsi" w:cstheme="minorHAnsi"/>
        </w:rPr>
        <w:t xml:space="preserve">, hospital acquired hyponatraemia, acute </w:t>
      </w:r>
      <w:proofErr w:type="spellStart"/>
      <w:r w:rsidRPr="007D23A2">
        <w:rPr>
          <w:rFonts w:asciiTheme="minorHAnsi" w:hAnsiTheme="minorHAnsi" w:cstheme="minorHAnsi"/>
        </w:rPr>
        <w:t>hyponatraemic</w:t>
      </w:r>
      <w:proofErr w:type="spellEnd"/>
      <w:r w:rsidRPr="007D23A2">
        <w:rPr>
          <w:rFonts w:asciiTheme="minorHAnsi" w:hAnsiTheme="minorHAnsi" w:cstheme="minorHAnsi"/>
        </w:rPr>
        <w:t xml:space="preserve"> encephalopathy, seizures, thrombophlebitis, venous thrombosis, </w:t>
      </w:r>
      <w:proofErr w:type="spellStart"/>
      <w:r w:rsidRPr="007D23A2">
        <w:rPr>
          <w:rFonts w:asciiTheme="minorHAnsi" w:hAnsiTheme="minorHAnsi" w:cstheme="minorHAnsi"/>
        </w:rPr>
        <w:t>urticaria</w:t>
      </w:r>
      <w:proofErr w:type="spellEnd"/>
      <w:r w:rsidRPr="007D23A2">
        <w:rPr>
          <w:rFonts w:asciiTheme="minorHAnsi" w:hAnsiTheme="minorHAnsi" w:cstheme="minorHAnsi"/>
        </w:rPr>
        <w:t>, infusion site reactions.</w:t>
      </w:r>
    </w:p>
    <w:p w:rsidR="0028726A" w:rsidRPr="007D23A2" w:rsidRDefault="0028726A" w:rsidP="0028726A">
      <w:pPr>
        <w:pStyle w:val="NormalWeb"/>
        <w:spacing w:before="0" w:beforeAutospacing="0" w:after="0" w:afterAutospacing="0"/>
        <w:ind w:left="709"/>
        <w:rPr>
          <w:rFonts w:asciiTheme="minorHAnsi" w:hAnsiTheme="minorHAnsi" w:cstheme="minorHAnsi"/>
        </w:rPr>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Administration in the postoperative period shortly after recovery from neuromuscular block should be used with caution since magne</w:t>
      </w:r>
      <w:r w:rsidR="00A9302D" w:rsidRPr="007D23A2">
        <w:rPr>
          <w:rFonts w:asciiTheme="minorHAnsi" w:hAnsiTheme="minorHAnsi" w:cstheme="minorHAnsi"/>
        </w:rPr>
        <w:t xml:space="preserve">sium salts can lead to </w:t>
      </w:r>
      <w:proofErr w:type="spellStart"/>
      <w:r w:rsidR="00A9302D" w:rsidRPr="007D23A2">
        <w:rPr>
          <w:rFonts w:asciiTheme="minorHAnsi" w:hAnsiTheme="minorHAnsi" w:cstheme="minorHAnsi"/>
        </w:rPr>
        <w:t>recuraris</w:t>
      </w:r>
      <w:r w:rsidRPr="007D23A2">
        <w:rPr>
          <w:rFonts w:asciiTheme="minorHAnsi" w:hAnsiTheme="minorHAnsi" w:cstheme="minorHAnsi"/>
        </w:rPr>
        <w:t>ation</w:t>
      </w:r>
      <w:proofErr w:type="spellEnd"/>
      <w:r w:rsidRPr="007D23A2">
        <w:rPr>
          <w:rFonts w:asciiTheme="minorHAnsi" w:hAnsiTheme="minorHAnsi" w:cstheme="minorHAnsi"/>
        </w:rPr>
        <w:t xml:space="preserve"> effect.</w:t>
      </w:r>
    </w:p>
    <w:p w:rsidR="007D23A2" w:rsidRPr="007D23A2" w:rsidRDefault="007D23A2" w:rsidP="0028726A">
      <w:pPr>
        <w:pStyle w:val="NormalWeb"/>
        <w:spacing w:before="0" w:beforeAutospacing="0" w:after="0" w:afterAutospacing="0"/>
        <w:ind w:left="709" w:hanging="709"/>
        <w:rPr>
          <w:rFonts w:asciiTheme="minorHAnsi" w:hAnsiTheme="minorHAnsi" w:cstheme="minorHAnsi"/>
        </w:rPr>
      </w:pPr>
    </w:p>
    <w:p w:rsidR="004B69D6" w:rsidRPr="0028726A" w:rsidRDefault="00D62305" w:rsidP="0028726A">
      <w:pPr>
        <w:pStyle w:val="Heading2"/>
        <w:spacing w:before="0"/>
        <w:ind w:left="709" w:hanging="709"/>
        <w:rPr>
          <w:rFonts w:asciiTheme="minorHAnsi" w:hAnsiTheme="minorHAnsi"/>
          <w:b/>
          <w:color w:val="auto"/>
          <w:sz w:val="24"/>
          <w:szCs w:val="24"/>
        </w:rPr>
      </w:pPr>
      <w:bookmarkStart w:id="17" w:name="_Toc151020801"/>
      <w:r w:rsidRPr="0028726A">
        <w:rPr>
          <w:rFonts w:asciiTheme="minorHAnsi" w:hAnsiTheme="minorHAnsi"/>
          <w:b/>
          <w:color w:val="auto"/>
          <w:sz w:val="24"/>
          <w:szCs w:val="24"/>
        </w:rPr>
        <w:t>4</w:t>
      </w:r>
      <w:r w:rsidR="007D23A2" w:rsidRPr="0028726A">
        <w:rPr>
          <w:rFonts w:asciiTheme="minorHAnsi" w:hAnsiTheme="minorHAnsi"/>
          <w:b/>
          <w:color w:val="auto"/>
          <w:sz w:val="24"/>
          <w:szCs w:val="24"/>
        </w:rPr>
        <w:t>.8</w:t>
      </w:r>
      <w:r w:rsidR="004B69D6" w:rsidRPr="0028726A">
        <w:rPr>
          <w:rFonts w:asciiTheme="minorHAnsi" w:hAnsiTheme="minorHAnsi"/>
          <w:b/>
          <w:color w:val="auto"/>
          <w:sz w:val="24"/>
          <w:szCs w:val="24"/>
        </w:rPr>
        <w:tab/>
        <w:t>Monitoring</w:t>
      </w:r>
      <w:bookmarkEnd w:id="17"/>
    </w:p>
    <w:p w:rsidR="007D23A2" w:rsidRPr="007D23A2" w:rsidRDefault="007D23A2" w:rsidP="0028726A">
      <w:pPr>
        <w:ind w:left="709" w:hanging="709"/>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Monitor the patient's clinical status and laboratory parameters (fluid balance, blood and urine electrolytes, and acid-base balance).</w:t>
      </w:r>
    </w:p>
    <w:p w:rsidR="007D23A2" w:rsidRPr="007D23A2" w:rsidRDefault="007D23A2" w:rsidP="0028726A">
      <w:pPr>
        <w:pStyle w:val="NormalWeb"/>
        <w:spacing w:before="0" w:beforeAutospacing="0" w:after="0" w:afterAutospacing="0"/>
        <w:ind w:left="709" w:hanging="709"/>
        <w:rPr>
          <w:rFonts w:asciiTheme="minorHAnsi" w:hAnsiTheme="minorHAnsi" w:cstheme="minorHAnsi"/>
        </w:rPr>
      </w:pPr>
    </w:p>
    <w:p w:rsidR="0028726A" w:rsidRDefault="0028726A">
      <w:pPr>
        <w:spacing w:after="160" w:line="259" w:lineRule="auto"/>
        <w:rPr>
          <w:rFonts w:eastAsiaTheme="majorEastAsia" w:cstheme="majorBidi"/>
          <w:b/>
        </w:rPr>
      </w:pPr>
      <w:bookmarkStart w:id="18" w:name="_Toc151020802"/>
      <w:r>
        <w:rPr>
          <w:b/>
        </w:rPr>
        <w:br w:type="page"/>
      </w:r>
    </w:p>
    <w:p w:rsidR="004B69D6" w:rsidRPr="0028726A" w:rsidRDefault="00D62305" w:rsidP="0028726A">
      <w:pPr>
        <w:pStyle w:val="Heading2"/>
        <w:spacing w:before="0"/>
        <w:ind w:left="709" w:hanging="709"/>
        <w:rPr>
          <w:rFonts w:asciiTheme="minorHAnsi" w:hAnsiTheme="minorHAnsi"/>
          <w:b/>
          <w:color w:val="auto"/>
          <w:sz w:val="24"/>
          <w:szCs w:val="24"/>
        </w:rPr>
      </w:pPr>
      <w:r w:rsidRPr="0028726A">
        <w:rPr>
          <w:rFonts w:asciiTheme="minorHAnsi" w:hAnsiTheme="minorHAnsi"/>
          <w:b/>
          <w:color w:val="auto"/>
          <w:sz w:val="24"/>
          <w:szCs w:val="24"/>
        </w:rPr>
        <w:lastRenderedPageBreak/>
        <w:t>4</w:t>
      </w:r>
      <w:r w:rsidR="00287083" w:rsidRPr="0028726A">
        <w:rPr>
          <w:rFonts w:asciiTheme="minorHAnsi" w:hAnsiTheme="minorHAnsi"/>
          <w:b/>
          <w:color w:val="auto"/>
          <w:sz w:val="24"/>
          <w:szCs w:val="24"/>
        </w:rPr>
        <w:t>.</w:t>
      </w:r>
      <w:r w:rsidR="007D23A2" w:rsidRPr="0028726A">
        <w:rPr>
          <w:rFonts w:asciiTheme="minorHAnsi" w:hAnsiTheme="minorHAnsi"/>
          <w:b/>
          <w:color w:val="auto"/>
          <w:sz w:val="24"/>
          <w:szCs w:val="24"/>
        </w:rPr>
        <w:t>9</w:t>
      </w:r>
      <w:r w:rsidR="004B69D6" w:rsidRPr="0028726A">
        <w:rPr>
          <w:rFonts w:asciiTheme="minorHAnsi" w:hAnsiTheme="minorHAnsi"/>
          <w:b/>
          <w:color w:val="auto"/>
          <w:sz w:val="24"/>
          <w:szCs w:val="24"/>
        </w:rPr>
        <w:t xml:space="preserve"> </w:t>
      </w:r>
      <w:r w:rsidR="001241A3" w:rsidRPr="0028726A">
        <w:rPr>
          <w:rFonts w:asciiTheme="minorHAnsi" w:hAnsiTheme="minorHAnsi"/>
          <w:b/>
          <w:color w:val="auto"/>
          <w:sz w:val="24"/>
          <w:szCs w:val="24"/>
        </w:rPr>
        <w:t xml:space="preserve">      </w:t>
      </w:r>
      <w:r w:rsidR="004B69D6" w:rsidRPr="0028726A">
        <w:rPr>
          <w:rFonts w:asciiTheme="minorHAnsi" w:hAnsiTheme="minorHAnsi"/>
          <w:b/>
          <w:color w:val="auto"/>
          <w:sz w:val="24"/>
          <w:szCs w:val="24"/>
        </w:rPr>
        <w:t>Compatibility</w:t>
      </w:r>
      <w:bookmarkEnd w:id="18"/>
    </w:p>
    <w:p w:rsidR="007D23A2" w:rsidRPr="007D23A2" w:rsidRDefault="007D23A2" w:rsidP="0028726A">
      <w:pPr>
        <w:ind w:left="709" w:hanging="709"/>
      </w:pPr>
    </w:p>
    <w:p w:rsidR="004B69D6" w:rsidRPr="007D23A2"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There are limited published data on compatibility with other medicines or infusion fluids.</w:t>
      </w:r>
      <w:r w:rsidR="00FD76CE" w:rsidRPr="007D23A2">
        <w:rPr>
          <w:rFonts w:asciiTheme="minorHAnsi" w:hAnsiTheme="minorHAnsi" w:cstheme="minorHAnsi"/>
        </w:rPr>
        <w:t xml:space="preserve"> Due to limited data on compatibility, Plasma-</w:t>
      </w:r>
      <w:proofErr w:type="spellStart"/>
      <w:r w:rsidR="00FD76CE" w:rsidRPr="007D23A2">
        <w:rPr>
          <w:rFonts w:asciiTheme="minorHAnsi" w:hAnsiTheme="minorHAnsi" w:cstheme="minorHAnsi"/>
        </w:rPr>
        <w:t>Lyte</w:t>
      </w:r>
      <w:proofErr w:type="spellEnd"/>
      <w:r w:rsidR="00FD76CE" w:rsidRPr="007D23A2">
        <w:rPr>
          <w:rFonts w:asciiTheme="minorHAnsi" w:hAnsiTheme="minorHAnsi" w:cstheme="minorHAnsi"/>
        </w:rPr>
        <w:t xml:space="preserve"> 148 is not to be used to make up/ give medications unless in exceptional circumstances.</w:t>
      </w:r>
    </w:p>
    <w:p w:rsidR="004B69D6" w:rsidRPr="007D23A2" w:rsidRDefault="00A9302D"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004B69D6" w:rsidRPr="007D23A2">
        <w:rPr>
          <w:rFonts w:asciiTheme="minorHAnsi" w:hAnsiTheme="minorHAnsi" w:cstheme="minorHAnsi"/>
        </w:rPr>
        <w:t xml:space="preserve"> 148 is compatible with blood and can be administered before, during or after a blood transfusion.</w:t>
      </w:r>
    </w:p>
    <w:p w:rsidR="004B69D6" w:rsidRPr="007D23A2" w:rsidRDefault="004B69D6" w:rsidP="0028726A">
      <w:pPr>
        <w:pStyle w:val="NormalWeb"/>
        <w:spacing w:before="0" w:beforeAutospacing="0" w:after="0" w:afterAutospacing="0"/>
        <w:ind w:left="709" w:hanging="709"/>
        <w:rPr>
          <w:rFonts w:asciiTheme="minorHAnsi" w:hAnsiTheme="minorHAnsi" w:cstheme="minorHAnsi"/>
        </w:rPr>
      </w:pPr>
    </w:p>
    <w:p w:rsidR="004B69D6" w:rsidRPr="0028726A" w:rsidRDefault="00D62305" w:rsidP="0028726A">
      <w:pPr>
        <w:pStyle w:val="Heading2"/>
        <w:spacing w:before="0"/>
        <w:ind w:left="709" w:hanging="709"/>
        <w:rPr>
          <w:rFonts w:asciiTheme="minorHAnsi" w:hAnsiTheme="minorHAnsi"/>
          <w:b/>
          <w:color w:val="auto"/>
          <w:sz w:val="24"/>
          <w:szCs w:val="24"/>
        </w:rPr>
      </w:pPr>
      <w:bookmarkStart w:id="19" w:name="_Toc151020803"/>
      <w:r w:rsidRPr="0028726A">
        <w:rPr>
          <w:rFonts w:asciiTheme="minorHAnsi" w:hAnsiTheme="minorHAnsi"/>
          <w:b/>
          <w:color w:val="auto"/>
          <w:sz w:val="24"/>
          <w:szCs w:val="24"/>
        </w:rPr>
        <w:t>4</w:t>
      </w:r>
      <w:r w:rsidR="007D23A2" w:rsidRPr="0028726A">
        <w:rPr>
          <w:rFonts w:asciiTheme="minorHAnsi" w:hAnsiTheme="minorHAnsi"/>
          <w:b/>
          <w:color w:val="auto"/>
          <w:sz w:val="24"/>
          <w:szCs w:val="24"/>
        </w:rPr>
        <w:t>.10</w:t>
      </w:r>
      <w:r w:rsidR="007D23A2" w:rsidRPr="0028726A">
        <w:rPr>
          <w:rFonts w:asciiTheme="minorHAnsi" w:hAnsiTheme="minorHAnsi"/>
          <w:b/>
          <w:color w:val="auto"/>
          <w:sz w:val="24"/>
          <w:szCs w:val="24"/>
        </w:rPr>
        <w:tab/>
      </w:r>
      <w:r w:rsidR="004B69D6" w:rsidRPr="0028726A">
        <w:rPr>
          <w:rFonts w:asciiTheme="minorHAnsi" w:hAnsiTheme="minorHAnsi"/>
          <w:b/>
          <w:color w:val="auto"/>
          <w:sz w:val="24"/>
          <w:szCs w:val="24"/>
        </w:rPr>
        <w:t>Other information</w:t>
      </w:r>
      <w:bookmarkEnd w:id="19"/>
    </w:p>
    <w:p w:rsidR="007D23A2" w:rsidRPr="007D23A2" w:rsidRDefault="007D23A2" w:rsidP="0028726A">
      <w:pPr>
        <w:ind w:left="709" w:hanging="709"/>
      </w:pPr>
    </w:p>
    <w:p w:rsidR="004B69D6"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is not indicated for the treatment of </w:t>
      </w:r>
      <w:proofErr w:type="spellStart"/>
      <w:r w:rsidRPr="007D23A2">
        <w:rPr>
          <w:rFonts w:asciiTheme="minorHAnsi" w:hAnsiTheme="minorHAnsi" w:cstheme="minorHAnsi"/>
        </w:rPr>
        <w:t>hypochloraemic</w:t>
      </w:r>
      <w:proofErr w:type="spellEnd"/>
      <w:r w:rsidRPr="007D23A2">
        <w:rPr>
          <w:rFonts w:asciiTheme="minorHAnsi" w:hAnsiTheme="minorHAnsi" w:cstheme="minorHAnsi"/>
        </w:rPr>
        <w:t xml:space="preserve"> </w:t>
      </w:r>
      <w:proofErr w:type="spellStart"/>
      <w:r w:rsidRPr="007D23A2">
        <w:rPr>
          <w:rFonts w:asciiTheme="minorHAnsi" w:hAnsiTheme="minorHAnsi" w:cstheme="minorHAnsi"/>
        </w:rPr>
        <w:t>hypokalaemic</w:t>
      </w:r>
      <w:proofErr w:type="spellEnd"/>
      <w:r w:rsidRPr="007D23A2">
        <w:rPr>
          <w:rFonts w:asciiTheme="minorHAnsi" w:hAnsiTheme="minorHAnsi" w:cstheme="minorHAnsi"/>
        </w:rPr>
        <w:t xml:space="preserve"> alkalosis.</w:t>
      </w:r>
      <w:bookmarkStart w:id="20" w:name="_GoBack"/>
      <w:bookmarkEnd w:id="20"/>
    </w:p>
    <w:p w:rsidR="007D23A2" w:rsidRPr="007D23A2" w:rsidRDefault="007D23A2" w:rsidP="0028726A">
      <w:pPr>
        <w:pStyle w:val="NormalWeb"/>
        <w:spacing w:before="0" w:beforeAutospacing="0" w:after="0" w:afterAutospacing="0"/>
        <w:ind w:left="709" w:hanging="709"/>
        <w:rPr>
          <w:rFonts w:asciiTheme="minorHAnsi" w:hAnsiTheme="minorHAnsi" w:cstheme="minorHAnsi"/>
        </w:rPr>
      </w:pPr>
    </w:p>
    <w:p w:rsidR="004B69D6" w:rsidRPr="007D23A2" w:rsidRDefault="004B69D6" w:rsidP="0028726A">
      <w:pPr>
        <w:pStyle w:val="NormalWeb"/>
        <w:spacing w:before="0" w:beforeAutospacing="0" w:after="0" w:afterAutospacing="0"/>
        <w:ind w:left="709"/>
        <w:rPr>
          <w:rFonts w:asciiTheme="minorHAnsi" w:hAnsiTheme="minorHAnsi" w:cstheme="minorHAnsi"/>
        </w:rPr>
      </w:pPr>
      <w:r w:rsidRPr="007D23A2">
        <w:rPr>
          <w:rFonts w:asciiTheme="minorHAnsi" w:hAnsiTheme="minorHAnsi" w:cstheme="minorHAnsi"/>
        </w:rPr>
        <w:t>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is not indicated for the primary treatment of severe metabolic acidosis neither for the treatment of hypomagnesaemia.</w:t>
      </w:r>
    </w:p>
    <w:p w:rsidR="007D23A2" w:rsidRDefault="007D23A2" w:rsidP="0028726A">
      <w:pPr>
        <w:pStyle w:val="Heading1"/>
        <w:spacing w:before="0"/>
        <w:ind w:left="709" w:hanging="709"/>
        <w:rPr>
          <w:rFonts w:asciiTheme="minorHAnsi" w:hAnsiTheme="minorHAnsi"/>
          <w:color w:val="auto"/>
          <w:sz w:val="24"/>
          <w:szCs w:val="24"/>
        </w:rPr>
      </w:pPr>
    </w:p>
    <w:p w:rsidR="004B69D6" w:rsidRPr="007D23A2" w:rsidRDefault="007D23A2" w:rsidP="0028726A">
      <w:pPr>
        <w:pStyle w:val="Heading1"/>
        <w:spacing w:before="0"/>
        <w:ind w:left="709" w:hanging="709"/>
        <w:rPr>
          <w:rFonts w:asciiTheme="minorHAnsi" w:hAnsiTheme="minorHAnsi"/>
          <w:b/>
          <w:color w:val="auto"/>
          <w:sz w:val="24"/>
          <w:szCs w:val="24"/>
        </w:rPr>
      </w:pPr>
      <w:bookmarkStart w:id="21" w:name="_Toc151020804"/>
      <w:r w:rsidRPr="007D23A2">
        <w:rPr>
          <w:rFonts w:asciiTheme="minorHAnsi" w:hAnsiTheme="minorHAnsi"/>
          <w:b/>
          <w:color w:val="auto"/>
          <w:sz w:val="24"/>
          <w:szCs w:val="24"/>
        </w:rPr>
        <w:t>5.</w:t>
      </w:r>
      <w:r w:rsidRPr="007D23A2">
        <w:rPr>
          <w:rFonts w:asciiTheme="minorHAnsi" w:hAnsiTheme="minorHAnsi"/>
          <w:b/>
          <w:color w:val="auto"/>
          <w:sz w:val="24"/>
          <w:szCs w:val="24"/>
        </w:rPr>
        <w:tab/>
      </w:r>
      <w:r w:rsidR="004B69D6" w:rsidRPr="007D23A2">
        <w:rPr>
          <w:rFonts w:asciiTheme="minorHAnsi" w:hAnsiTheme="minorHAnsi"/>
          <w:b/>
          <w:color w:val="auto"/>
          <w:sz w:val="24"/>
          <w:szCs w:val="24"/>
        </w:rPr>
        <w:t>References</w:t>
      </w:r>
      <w:bookmarkEnd w:id="21"/>
    </w:p>
    <w:p w:rsidR="007D23A2" w:rsidRPr="007D23A2" w:rsidRDefault="007D23A2" w:rsidP="0028726A">
      <w:pPr>
        <w:ind w:left="709" w:hanging="709"/>
      </w:pPr>
    </w:p>
    <w:p w:rsidR="00A9302D" w:rsidRPr="007D23A2" w:rsidRDefault="00A9302D"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Summaries of Product Characteristics (2019)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(pH 7.4) solution for infusion,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w:t>
      </w:r>
      <w:proofErr w:type="spellStart"/>
      <w:r w:rsidRPr="007D23A2">
        <w:rPr>
          <w:rFonts w:asciiTheme="minorHAnsi" w:hAnsiTheme="minorHAnsi" w:cstheme="minorHAnsi"/>
        </w:rPr>
        <w:t>ph</w:t>
      </w:r>
      <w:proofErr w:type="spellEnd"/>
      <w:r w:rsidRPr="007D23A2">
        <w:rPr>
          <w:rFonts w:asciiTheme="minorHAnsi" w:hAnsiTheme="minorHAnsi" w:cstheme="minorHAnsi"/>
        </w:rPr>
        <w:t xml:space="preserve"> 7.4) solution for infusion - summary of product characteristics (</w:t>
      </w:r>
      <w:proofErr w:type="spellStart"/>
      <w:r w:rsidRPr="007D23A2">
        <w:rPr>
          <w:rFonts w:asciiTheme="minorHAnsi" w:hAnsiTheme="minorHAnsi" w:cstheme="minorHAnsi"/>
        </w:rPr>
        <w:t>SmPC</w:t>
      </w:r>
      <w:proofErr w:type="spellEnd"/>
      <w:r w:rsidRPr="007D23A2">
        <w:rPr>
          <w:rFonts w:asciiTheme="minorHAnsi" w:hAnsiTheme="minorHAnsi" w:cstheme="minorHAnsi"/>
        </w:rPr>
        <w:t xml:space="preserve">) - (EMC). Available at: </w:t>
      </w:r>
      <w:hyperlink r:id="rId10" w:anchor="gref" w:history="1">
        <w:r w:rsidRPr="007D23A2">
          <w:rPr>
            <w:rStyle w:val="Hyperlink"/>
            <w:rFonts w:asciiTheme="minorHAnsi" w:hAnsiTheme="minorHAnsi" w:cstheme="minorHAnsi"/>
            <w:color w:val="auto"/>
          </w:rPr>
          <w:t>https://www.medicines.org.uk/emc/product/1795/smpc#gref</w:t>
        </w:r>
      </w:hyperlink>
      <w:r w:rsidRPr="007D23A2">
        <w:rPr>
          <w:rFonts w:asciiTheme="minorHAnsi" w:hAnsiTheme="minorHAnsi" w:cstheme="minorHAnsi"/>
        </w:rPr>
        <w:t xml:space="preserve"> (Accessed: 19 October 2023). </w:t>
      </w:r>
    </w:p>
    <w:p w:rsidR="00A9302D" w:rsidRPr="007D23A2" w:rsidRDefault="00A9302D"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Medusa NHS Inj</w:t>
      </w:r>
      <w:r w:rsidR="00935E92" w:rsidRPr="007D23A2">
        <w:rPr>
          <w:rFonts w:asciiTheme="minorHAnsi" w:hAnsiTheme="minorHAnsi" w:cstheme="minorHAnsi"/>
        </w:rPr>
        <w:t>ectable Medicines Guide (2023</w:t>
      </w:r>
      <w:r w:rsidRPr="007D23A2">
        <w:rPr>
          <w:rFonts w:asciiTheme="minorHAnsi" w:hAnsiTheme="minorHAnsi" w:cstheme="minorHAnsi"/>
        </w:rPr>
        <w:t xml:space="preserve">) </w:t>
      </w:r>
      <w:r w:rsidRPr="007D23A2">
        <w:rPr>
          <w:rFonts w:asciiTheme="minorHAnsi" w:hAnsiTheme="minorHAnsi" w:cstheme="minorHAnsi"/>
          <w:i/>
          <w:iCs/>
        </w:rPr>
        <w:t>Plasma-</w:t>
      </w:r>
      <w:proofErr w:type="spellStart"/>
      <w:r w:rsidRPr="007D23A2">
        <w:rPr>
          <w:rFonts w:asciiTheme="minorHAnsi" w:hAnsiTheme="minorHAnsi" w:cstheme="minorHAnsi"/>
          <w:i/>
          <w:iCs/>
        </w:rPr>
        <w:t>Lyte</w:t>
      </w:r>
      <w:proofErr w:type="spellEnd"/>
      <w:r w:rsidRPr="007D23A2">
        <w:rPr>
          <w:rFonts w:asciiTheme="minorHAnsi" w:hAnsiTheme="minorHAnsi" w:cstheme="minorHAnsi"/>
          <w:i/>
          <w:iCs/>
        </w:rPr>
        <w:t xml:space="preserve"> 148 (in water)</w:t>
      </w:r>
      <w:r w:rsidRPr="007D23A2">
        <w:rPr>
          <w:rFonts w:asciiTheme="minorHAnsi" w:hAnsiTheme="minorHAnsi" w:cstheme="minorHAnsi"/>
        </w:rPr>
        <w:t xml:space="preserve">, </w:t>
      </w:r>
      <w:r w:rsidRPr="007D23A2">
        <w:rPr>
          <w:rFonts w:asciiTheme="minorHAnsi" w:hAnsiTheme="minorHAnsi" w:cstheme="minorHAnsi"/>
          <w:i/>
          <w:iCs/>
        </w:rPr>
        <w:t>Medusa NHS Injectable Medicines Guide</w:t>
      </w:r>
      <w:r w:rsidRPr="007D23A2">
        <w:rPr>
          <w:rFonts w:asciiTheme="minorHAnsi" w:hAnsiTheme="minorHAnsi" w:cstheme="minorHAnsi"/>
        </w:rPr>
        <w:t xml:space="preserve">. Available at: </w:t>
      </w:r>
      <w:hyperlink r:id="rId11" w:history="1">
        <w:r w:rsidRPr="007D23A2">
          <w:rPr>
            <w:rStyle w:val="Hyperlink"/>
            <w:rFonts w:asciiTheme="minorHAnsi" w:hAnsiTheme="minorHAnsi" w:cstheme="minorHAnsi"/>
            <w:color w:val="auto"/>
          </w:rPr>
          <w:t>https://www.medusaimg.nhs.uk/IVGuideDisplay.asp</w:t>
        </w:r>
      </w:hyperlink>
      <w:r w:rsidRPr="007D23A2">
        <w:rPr>
          <w:rFonts w:asciiTheme="minorHAnsi" w:hAnsiTheme="minorHAnsi" w:cstheme="minorHAnsi"/>
        </w:rPr>
        <w:t xml:space="preserve"> (Accessed: 19 October 2023).</w:t>
      </w:r>
    </w:p>
    <w:p w:rsidR="00A9302D" w:rsidRPr="007D23A2" w:rsidRDefault="00A9302D" w:rsidP="0028726A">
      <w:pPr>
        <w:pStyle w:val="NormalWeb"/>
        <w:numPr>
          <w:ilvl w:val="0"/>
          <w:numId w:val="22"/>
        </w:numPr>
        <w:spacing w:before="0" w:beforeAutospacing="0" w:after="0" w:afterAutospacing="0"/>
        <w:ind w:left="1134" w:hanging="425"/>
        <w:rPr>
          <w:rFonts w:asciiTheme="minorHAnsi" w:hAnsiTheme="minorHAnsi" w:cstheme="minorHAnsi"/>
        </w:rPr>
      </w:pPr>
      <w:r w:rsidRPr="007D23A2">
        <w:rPr>
          <w:rFonts w:asciiTheme="minorHAnsi" w:hAnsiTheme="minorHAnsi" w:cstheme="minorHAnsi"/>
        </w:rPr>
        <w:t>Weinberg, L. et al. (2016) ‘Plasma-</w:t>
      </w:r>
      <w:proofErr w:type="spellStart"/>
      <w:r w:rsidRPr="007D23A2">
        <w:rPr>
          <w:rFonts w:asciiTheme="minorHAnsi" w:hAnsiTheme="minorHAnsi" w:cstheme="minorHAnsi"/>
        </w:rPr>
        <w:t>lyte</w:t>
      </w:r>
      <w:proofErr w:type="spellEnd"/>
      <w:r w:rsidRPr="007D23A2">
        <w:rPr>
          <w:rFonts w:asciiTheme="minorHAnsi" w:hAnsiTheme="minorHAnsi" w:cstheme="minorHAnsi"/>
        </w:rPr>
        <w:t xml:space="preserve"> 148: A clinical review’, World Journal of Critical Care Medicine, 5(4), p. 235. doi:10.5492/wjccm.v5.i4.235. Available at: </w:t>
      </w:r>
      <w:hyperlink r:id="rId12" w:history="1">
        <w:r w:rsidRPr="007D23A2">
          <w:rPr>
            <w:rStyle w:val="Hyperlink"/>
            <w:rFonts w:asciiTheme="minorHAnsi" w:hAnsiTheme="minorHAnsi" w:cstheme="minorHAnsi"/>
            <w:color w:val="auto"/>
          </w:rPr>
          <w:t>https://www.ncbi.nlm.nih.gov/pmc/articles/PMC5109922/</w:t>
        </w:r>
      </w:hyperlink>
      <w:r w:rsidRPr="007D23A2">
        <w:rPr>
          <w:rFonts w:asciiTheme="minorHAnsi" w:hAnsiTheme="minorHAnsi" w:cstheme="minorHAnsi"/>
        </w:rPr>
        <w:t xml:space="preserve"> (Accessed: 19 October 2023).</w:t>
      </w:r>
    </w:p>
    <w:p w:rsidR="00A9302D" w:rsidRPr="007D23A2" w:rsidRDefault="00A9302D" w:rsidP="0028726A">
      <w:pPr>
        <w:pStyle w:val="NormalWeb"/>
        <w:spacing w:before="0" w:beforeAutospacing="0" w:after="0" w:afterAutospacing="0"/>
        <w:ind w:left="709" w:hanging="709"/>
        <w:rPr>
          <w:rFonts w:asciiTheme="minorHAnsi" w:hAnsiTheme="minorHAnsi"/>
        </w:rPr>
      </w:pPr>
    </w:p>
    <w:p w:rsidR="004B69D6" w:rsidRPr="007D23A2" w:rsidRDefault="007D23A2" w:rsidP="0028726A">
      <w:pPr>
        <w:pStyle w:val="Heading1"/>
        <w:spacing w:before="0"/>
        <w:ind w:left="709" w:hanging="709"/>
        <w:rPr>
          <w:rFonts w:asciiTheme="minorHAnsi" w:hAnsiTheme="minorHAnsi"/>
          <w:b/>
          <w:color w:val="auto"/>
          <w:sz w:val="24"/>
          <w:szCs w:val="24"/>
        </w:rPr>
      </w:pPr>
      <w:bookmarkStart w:id="22" w:name="_Toc151020805"/>
      <w:r w:rsidRPr="007D23A2">
        <w:rPr>
          <w:rFonts w:asciiTheme="minorHAnsi" w:hAnsiTheme="minorHAnsi"/>
          <w:b/>
          <w:color w:val="auto"/>
          <w:sz w:val="24"/>
          <w:szCs w:val="24"/>
        </w:rPr>
        <w:t>6</w:t>
      </w:r>
      <w:r w:rsidRPr="007D23A2">
        <w:rPr>
          <w:rFonts w:asciiTheme="minorHAnsi" w:hAnsiTheme="minorHAnsi"/>
          <w:b/>
          <w:color w:val="auto"/>
          <w:sz w:val="24"/>
          <w:szCs w:val="24"/>
        </w:rPr>
        <w:tab/>
      </w:r>
      <w:r w:rsidR="004B69D6" w:rsidRPr="007D23A2">
        <w:rPr>
          <w:rFonts w:asciiTheme="minorHAnsi" w:hAnsiTheme="minorHAnsi"/>
          <w:b/>
          <w:color w:val="auto"/>
          <w:sz w:val="24"/>
          <w:szCs w:val="24"/>
        </w:rPr>
        <w:t>Appendices</w:t>
      </w:r>
      <w:bookmarkEnd w:id="22"/>
    </w:p>
    <w:p w:rsidR="007D23A2" w:rsidRDefault="007D23A2" w:rsidP="0028726A">
      <w:pPr>
        <w:pStyle w:val="NormalWeb"/>
        <w:spacing w:before="0" w:beforeAutospacing="0" w:after="0" w:afterAutospacing="0"/>
        <w:ind w:left="709" w:hanging="709"/>
        <w:rPr>
          <w:rFonts w:asciiTheme="minorHAnsi" w:hAnsiTheme="minorHAnsi" w:cstheme="minorHAnsi"/>
        </w:rPr>
      </w:pPr>
    </w:p>
    <w:p w:rsidR="004B69D6" w:rsidRPr="007D23A2" w:rsidRDefault="007D23A2" w:rsidP="0028726A">
      <w:pPr>
        <w:pStyle w:val="NormalWeb"/>
        <w:spacing w:before="0" w:beforeAutospacing="0" w:after="0" w:afterAutospacing="0"/>
        <w:ind w:left="2127" w:hanging="1418"/>
        <w:rPr>
          <w:rFonts w:asciiTheme="minorHAnsi" w:hAnsiTheme="minorHAnsi" w:cstheme="minorHAnsi"/>
        </w:rPr>
      </w:pPr>
      <w:r>
        <w:rPr>
          <w:rFonts w:asciiTheme="minorHAnsi" w:hAnsiTheme="minorHAnsi" w:cstheme="minorHAnsi"/>
        </w:rPr>
        <w:t>Appendix 1:</w:t>
      </w:r>
      <w:r>
        <w:rPr>
          <w:rFonts w:asciiTheme="minorHAnsi" w:hAnsiTheme="minorHAnsi" w:cstheme="minorHAnsi"/>
        </w:rPr>
        <w:tab/>
      </w:r>
      <w:r w:rsidR="004B69D6" w:rsidRPr="007D23A2">
        <w:rPr>
          <w:rFonts w:asciiTheme="minorHAnsi" w:hAnsiTheme="minorHAnsi" w:cstheme="minorHAnsi"/>
        </w:rPr>
        <w:t>Composition of Plasma-</w:t>
      </w:r>
      <w:proofErr w:type="spellStart"/>
      <w:r w:rsidR="004B69D6" w:rsidRPr="007D23A2">
        <w:rPr>
          <w:rFonts w:asciiTheme="minorHAnsi" w:hAnsiTheme="minorHAnsi" w:cstheme="minorHAnsi"/>
        </w:rPr>
        <w:t>Lyte</w:t>
      </w:r>
      <w:proofErr w:type="spellEnd"/>
      <w:r w:rsidR="004B69D6" w:rsidRPr="007D23A2">
        <w:rPr>
          <w:rFonts w:asciiTheme="minorHAnsi" w:hAnsiTheme="minorHAnsi" w:cstheme="minorHAnsi"/>
        </w:rPr>
        <w:t xml:space="preserve"> 148 VS Sodium Chloride 0.9% and Compound sodium lactate</w:t>
      </w:r>
    </w:p>
    <w:p w:rsidR="004B69D6" w:rsidRDefault="004B69D6" w:rsidP="0028726A">
      <w:pPr>
        <w:ind w:left="2127" w:hanging="2127"/>
        <w:rPr>
          <w:rFonts w:cstheme="minorHAnsi"/>
        </w:rPr>
        <w:sectPr w:rsidR="004B69D6" w:rsidSect="0028726A">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1135" w:left="1440" w:header="708" w:footer="708" w:gutter="0"/>
          <w:cols w:space="708"/>
          <w:docGrid w:linePitch="360"/>
        </w:sectPr>
      </w:pPr>
    </w:p>
    <w:p w:rsidR="004B69D6" w:rsidRDefault="004B69D6">
      <w:pPr>
        <w:spacing w:after="160" w:line="259" w:lineRule="auto"/>
        <w:rPr>
          <w:rFonts w:cstheme="minorHAnsi"/>
        </w:rPr>
      </w:pPr>
    </w:p>
    <w:tbl>
      <w:tblPr>
        <w:tblStyle w:val="TableGrid1"/>
        <w:tblW w:w="15026" w:type="dxa"/>
        <w:tblInd w:w="-572" w:type="dxa"/>
        <w:tblLayout w:type="fixed"/>
        <w:tblLook w:val="04A0" w:firstRow="1" w:lastRow="0" w:firstColumn="1" w:lastColumn="0" w:noHBand="0" w:noVBand="1"/>
      </w:tblPr>
      <w:tblGrid>
        <w:gridCol w:w="1134"/>
        <w:gridCol w:w="993"/>
        <w:gridCol w:w="992"/>
        <w:gridCol w:w="992"/>
        <w:gridCol w:w="1134"/>
        <w:gridCol w:w="992"/>
        <w:gridCol w:w="993"/>
        <w:gridCol w:w="992"/>
        <w:gridCol w:w="992"/>
        <w:gridCol w:w="992"/>
        <w:gridCol w:w="851"/>
        <w:gridCol w:w="1276"/>
        <w:gridCol w:w="1701"/>
        <w:gridCol w:w="992"/>
      </w:tblGrid>
      <w:tr w:rsidR="00A9302D" w:rsidRPr="000611DE" w:rsidTr="000611DE">
        <w:trPr>
          <w:trHeight w:val="1125"/>
        </w:trPr>
        <w:tc>
          <w:tcPr>
            <w:tcW w:w="1134" w:type="dxa"/>
            <w:hideMark/>
          </w:tcPr>
          <w:p w:rsidR="00A9302D" w:rsidRPr="000611DE" w:rsidRDefault="00A9302D" w:rsidP="00A9302D">
            <w:pPr>
              <w:rPr>
                <w:rFonts w:ascii="Cambria" w:hAnsi="Cambria"/>
                <w:color w:val="333333"/>
                <w:sz w:val="20"/>
              </w:rPr>
            </w:pPr>
          </w:p>
        </w:tc>
        <w:tc>
          <w:tcPr>
            <w:tcW w:w="993" w:type="dxa"/>
            <w:hideMark/>
          </w:tcPr>
          <w:p w:rsidR="00A9302D" w:rsidRPr="000611DE" w:rsidRDefault="00A9302D" w:rsidP="000611DE">
            <w:pPr>
              <w:ind w:right="-111"/>
              <w:rPr>
                <w:sz w:val="20"/>
              </w:rPr>
            </w:pPr>
            <w:r w:rsidRPr="000611DE">
              <w:rPr>
                <w:rStyle w:val="Strong"/>
                <w:sz w:val="20"/>
              </w:rPr>
              <w:t>Sodium (</w:t>
            </w:r>
            <w:proofErr w:type="spellStart"/>
            <w:r w:rsidRPr="000611DE">
              <w:rPr>
                <w:rStyle w:val="Strong"/>
                <w:sz w:val="20"/>
              </w:rPr>
              <w:t>mmol</w:t>
            </w:r>
            <w:proofErr w:type="spellEnd"/>
            <w:r w:rsidRPr="000611DE">
              <w:rPr>
                <w:rStyle w:val="Strong"/>
                <w:sz w:val="20"/>
              </w:rPr>
              <w:t>/L)</w:t>
            </w:r>
          </w:p>
        </w:tc>
        <w:tc>
          <w:tcPr>
            <w:tcW w:w="992" w:type="dxa"/>
          </w:tcPr>
          <w:p w:rsidR="00A9302D" w:rsidRPr="000611DE" w:rsidRDefault="00A9302D" w:rsidP="000611DE">
            <w:pPr>
              <w:ind w:right="-111"/>
              <w:rPr>
                <w:sz w:val="20"/>
              </w:rPr>
            </w:pPr>
            <w:r w:rsidRPr="000611DE">
              <w:rPr>
                <w:rStyle w:val="Strong"/>
                <w:sz w:val="20"/>
              </w:rPr>
              <w:t>Chloride (</w:t>
            </w:r>
            <w:proofErr w:type="spellStart"/>
            <w:r w:rsidRPr="000611DE">
              <w:rPr>
                <w:rStyle w:val="Strong"/>
                <w:sz w:val="20"/>
              </w:rPr>
              <w:t>mmol</w:t>
            </w:r>
            <w:proofErr w:type="spellEnd"/>
            <w:r w:rsidRPr="000611DE">
              <w:rPr>
                <w:rStyle w:val="Strong"/>
                <w:sz w:val="20"/>
              </w:rPr>
              <w:t>/L)</w:t>
            </w:r>
          </w:p>
        </w:tc>
        <w:tc>
          <w:tcPr>
            <w:tcW w:w="992" w:type="dxa"/>
            <w:hideMark/>
          </w:tcPr>
          <w:p w:rsidR="00A9302D" w:rsidRPr="000611DE" w:rsidRDefault="00A9302D" w:rsidP="000611DE">
            <w:pPr>
              <w:ind w:right="-111"/>
              <w:rPr>
                <w:sz w:val="20"/>
              </w:rPr>
            </w:pPr>
            <w:r w:rsidRPr="000611DE">
              <w:rPr>
                <w:rStyle w:val="Strong"/>
                <w:sz w:val="20"/>
              </w:rPr>
              <w:t>Potassium (</w:t>
            </w:r>
            <w:proofErr w:type="spellStart"/>
            <w:r w:rsidRPr="000611DE">
              <w:rPr>
                <w:rStyle w:val="Strong"/>
                <w:sz w:val="20"/>
              </w:rPr>
              <w:t>mmol</w:t>
            </w:r>
            <w:proofErr w:type="spellEnd"/>
            <w:r w:rsidRPr="000611DE">
              <w:rPr>
                <w:rStyle w:val="Strong"/>
                <w:sz w:val="20"/>
              </w:rPr>
              <w:t>/L)</w:t>
            </w:r>
          </w:p>
        </w:tc>
        <w:tc>
          <w:tcPr>
            <w:tcW w:w="1134" w:type="dxa"/>
            <w:hideMark/>
          </w:tcPr>
          <w:p w:rsidR="00A9302D" w:rsidRPr="000611DE" w:rsidRDefault="00A9302D" w:rsidP="000611DE">
            <w:pPr>
              <w:ind w:right="-111"/>
              <w:rPr>
                <w:sz w:val="20"/>
              </w:rPr>
            </w:pPr>
            <w:r w:rsidRPr="000611DE">
              <w:rPr>
                <w:rStyle w:val="Strong"/>
                <w:sz w:val="20"/>
              </w:rPr>
              <w:t>Magnesium (</w:t>
            </w:r>
            <w:proofErr w:type="spellStart"/>
            <w:r w:rsidRPr="000611DE">
              <w:rPr>
                <w:rStyle w:val="Strong"/>
                <w:sz w:val="20"/>
              </w:rPr>
              <w:t>mmol</w:t>
            </w:r>
            <w:proofErr w:type="spellEnd"/>
            <w:r w:rsidRPr="000611DE">
              <w:rPr>
                <w:rStyle w:val="Strong"/>
                <w:sz w:val="20"/>
              </w:rPr>
              <w:t>/L)</w:t>
            </w:r>
          </w:p>
        </w:tc>
        <w:tc>
          <w:tcPr>
            <w:tcW w:w="992" w:type="dxa"/>
            <w:hideMark/>
          </w:tcPr>
          <w:p w:rsidR="00A9302D" w:rsidRPr="000611DE" w:rsidRDefault="00A9302D" w:rsidP="000611DE">
            <w:pPr>
              <w:ind w:right="-111"/>
              <w:rPr>
                <w:sz w:val="20"/>
              </w:rPr>
            </w:pPr>
            <w:r w:rsidRPr="000611DE">
              <w:rPr>
                <w:rStyle w:val="Strong"/>
                <w:sz w:val="20"/>
              </w:rPr>
              <w:t>Calcium (</w:t>
            </w:r>
            <w:proofErr w:type="spellStart"/>
            <w:r w:rsidRPr="000611DE">
              <w:rPr>
                <w:rStyle w:val="Strong"/>
                <w:sz w:val="20"/>
              </w:rPr>
              <w:t>mmol</w:t>
            </w:r>
            <w:proofErr w:type="spellEnd"/>
            <w:r w:rsidRPr="000611DE">
              <w:rPr>
                <w:rStyle w:val="Strong"/>
                <w:sz w:val="20"/>
              </w:rPr>
              <w:t>/L)</w:t>
            </w:r>
          </w:p>
        </w:tc>
        <w:tc>
          <w:tcPr>
            <w:tcW w:w="993" w:type="dxa"/>
            <w:hideMark/>
          </w:tcPr>
          <w:p w:rsidR="00A9302D" w:rsidRPr="000611DE" w:rsidRDefault="00A9302D" w:rsidP="000611DE">
            <w:pPr>
              <w:ind w:right="-111"/>
              <w:rPr>
                <w:sz w:val="20"/>
              </w:rPr>
            </w:pPr>
            <w:r w:rsidRPr="000611DE">
              <w:rPr>
                <w:rStyle w:val="Strong"/>
                <w:sz w:val="20"/>
              </w:rPr>
              <w:t>Acetate (</w:t>
            </w:r>
            <w:proofErr w:type="spellStart"/>
            <w:r w:rsidRPr="000611DE">
              <w:rPr>
                <w:rStyle w:val="Strong"/>
                <w:sz w:val="20"/>
              </w:rPr>
              <w:t>mmol</w:t>
            </w:r>
            <w:proofErr w:type="spellEnd"/>
            <w:r w:rsidRPr="000611DE">
              <w:rPr>
                <w:rStyle w:val="Strong"/>
                <w:sz w:val="20"/>
              </w:rPr>
              <w:t>/L)</w:t>
            </w:r>
          </w:p>
        </w:tc>
        <w:tc>
          <w:tcPr>
            <w:tcW w:w="992" w:type="dxa"/>
            <w:hideMark/>
          </w:tcPr>
          <w:p w:rsidR="00A9302D" w:rsidRPr="000611DE" w:rsidRDefault="00A9302D" w:rsidP="000611DE">
            <w:pPr>
              <w:ind w:right="-111"/>
              <w:rPr>
                <w:sz w:val="20"/>
              </w:rPr>
            </w:pPr>
            <w:r w:rsidRPr="000611DE">
              <w:rPr>
                <w:rStyle w:val="Strong"/>
                <w:sz w:val="20"/>
              </w:rPr>
              <w:t>Gluconate (</w:t>
            </w:r>
            <w:proofErr w:type="spellStart"/>
            <w:r w:rsidRPr="000611DE">
              <w:rPr>
                <w:rStyle w:val="Strong"/>
                <w:sz w:val="20"/>
              </w:rPr>
              <w:t>mmol</w:t>
            </w:r>
            <w:proofErr w:type="spellEnd"/>
            <w:r w:rsidRPr="000611DE">
              <w:rPr>
                <w:rStyle w:val="Strong"/>
                <w:sz w:val="20"/>
              </w:rPr>
              <w:t>/L)</w:t>
            </w:r>
          </w:p>
        </w:tc>
        <w:tc>
          <w:tcPr>
            <w:tcW w:w="992" w:type="dxa"/>
            <w:hideMark/>
          </w:tcPr>
          <w:p w:rsidR="00A9302D" w:rsidRPr="000611DE" w:rsidRDefault="00A9302D" w:rsidP="000611DE">
            <w:pPr>
              <w:ind w:right="-111"/>
              <w:rPr>
                <w:sz w:val="20"/>
              </w:rPr>
            </w:pPr>
            <w:r w:rsidRPr="000611DE">
              <w:rPr>
                <w:rStyle w:val="Strong"/>
                <w:sz w:val="20"/>
              </w:rPr>
              <w:t>Lactate (</w:t>
            </w:r>
            <w:proofErr w:type="spellStart"/>
            <w:r w:rsidRPr="000611DE">
              <w:rPr>
                <w:rStyle w:val="Strong"/>
                <w:sz w:val="20"/>
              </w:rPr>
              <w:t>mmol</w:t>
            </w:r>
            <w:proofErr w:type="spellEnd"/>
            <w:r w:rsidRPr="000611DE">
              <w:rPr>
                <w:rStyle w:val="Strong"/>
                <w:sz w:val="20"/>
              </w:rPr>
              <w:t>/L)</w:t>
            </w:r>
          </w:p>
        </w:tc>
        <w:tc>
          <w:tcPr>
            <w:tcW w:w="992" w:type="dxa"/>
            <w:hideMark/>
          </w:tcPr>
          <w:p w:rsidR="00A9302D" w:rsidRPr="000611DE" w:rsidRDefault="00A9302D" w:rsidP="000611DE">
            <w:pPr>
              <w:ind w:right="-111"/>
              <w:rPr>
                <w:sz w:val="20"/>
              </w:rPr>
            </w:pPr>
            <w:r w:rsidRPr="000611DE">
              <w:rPr>
                <w:rStyle w:val="Strong"/>
                <w:sz w:val="20"/>
              </w:rPr>
              <w:t>Malate (</w:t>
            </w:r>
            <w:proofErr w:type="spellStart"/>
            <w:r w:rsidRPr="000611DE">
              <w:rPr>
                <w:rStyle w:val="Strong"/>
                <w:sz w:val="20"/>
              </w:rPr>
              <w:t>mmol</w:t>
            </w:r>
            <w:proofErr w:type="spellEnd"/>
            <w:r w:rsidRPr="000611DE">
              <w:rPr>
                <w:rStyle w:val="Strong"/>
                <w:sz w:val="20"/>
              </w:rPr>
              <w:t>/L)</w:t>
            </w:r>
          </w:p>
        </w:tc>
        <w:tc>
          <w:tcPr>
            <w:tcW w:w="851" w:type="dxa"/>
            <w:hideMark/>
          </w:tcPr>
          <w:p w:rsidR="00A9302D" w:rsidRPr="000611DE" w:rsidRDefault="00A9302D" w:rsidP="000611DE">
            <w:pPr>
              <w:ind w:right="-111"/>
              <w:rPr>
                <w:sz w:val="20"/>
              </w:rPr>
            </w:pPr>
            <w:proofErr w:type="spellStart"/>
            <w:r w:rsidRPr="000611DE">
              <w:rPr>
                <w:rStyle w:val="Strong"/>
                <w:sz w:val="20"/>
              </w:rPr>
              <w:t>eSID</w:t>
            </w:r>
            <w:proofErr w:type="spellEnd"/>
            <w:r w:rsidRPr="000611DE">
              <w:rPr>
                <w:rStyle w:val="Strong"/>
                <w:sz w:val="20"/>
              </w:rPr>
              <w:t xml:space="preserve"> (</w:t>
            </w:r>
            <w:proofErr w:type="spellStart"/>
            <w:r w:rsidRPr="000611DE">
              <w:rPr>
                <w:rStyle w:val="Strong"/>
                <w:sz w:val="20"/>
              </w:rPr>
              <w:t>mEq</w:t>
            </w:r>
            <w:proofErr w:type="spellEnd"/>
            <w:r w:rsidRPr="000611DE">
              <w:rPr>
                <w:rStyle w:val="Strong"/>
                <w:sz w:val="20"/>
              </w:rPr>
              <w:t>/L)</w:t>
            </w:r>
          </w:p>
        </w:tc>
        <w:tc>
          <w:tcPr>
            <w:tcW w:w="1276" w:type="dxa"/>
            <w:hideMark/>
          </w:tcPr>
          <w:p w:rsidR="00A9302D" w:rsidRPr="000611DE" w:rsidRDefault="00A9302D" w:rsidP="000611DE">
            <w:pPr>
              <w:ind w:right="-111"/>
              <w:rPr>
                <w:sz w:val="20"/>
              </w:rPr>
            </w:pPr>
            <w:r w:rsidRPr="000611DE">
              <w:rPr>
                <w:rStyle w:val="Strong"/>
                <w:sz w:val="20"/>
              </w:rPr>
              <w:t xml:space="preserve">Theoretical </w:t>
            </w:r>
            <w:proofErr w:type="spellStart"/>
            <w:r w:rsidRPr="000611DE">
              <w:rPr>
                <w:rStyle w:val="Strong"/>
                <w:sz w:val="20"/>
              </w:rPr>
              <w:t>osmolarity</w:t>
            </w:r>
            <w:proofErr w:type="spellEnd"/>
            <w:r w:rsidRPr="000611DE">
              <w:rPr>
                <w:rStyle w:val="Strong"/>
                <w:sz w:val="20"/>
              </w:rPr>
              <w:t xml:space="preserve"> (</w:t>
            </w:r>
            <w:proofErr w:type="spellStart"/>
            <w:r w:rsidRPr="000611DE">
              <w:rPr>
                <w:rStyle w:val="Strong"/>
                <w:sz w:val="20"/>
              </w:rPr>
              <w:t>mOsmol</w:t>
            </w:r>
            <w:proofErr w:type="spellEnd"/>
            <w:r w:rsidRPr="000611DE">
              <w:rPr>
                <w:rStyle w:val="Strong"/>
                <w:sz w:val="20"/>
              </w:rPr>
              <w:t>/kg)</w:t>
            </w:r>
          </w:p>
        </w:tc>
        <w:tc>
          <w:tcPr>
            <w:tcW w:w="1701" w:type="dxa"/>
            <w:hideMark/>
          </w:tcPr>
          <w:p w:rsidR="00A9302D" w:rsidRPr="000611DE" w:rsidRDefault="00A9302D" w:rsidP="000611DE">
            <w:pPr>
              <w:ind w:right="-111"/>
              <w:rPr>
                <w:sz w:val="20"/>
              </w:rPr>
            </w:pPr>
            <w:r w:rsidRPr="000611DE">
              <w:rPr>
                <w:rStyle w:val="Strong"/>
                <w:sz w:val="20"/>
              </w:rPr>
              <w:t>Actual osmolality (</w:t>
            </w:r>
            <w:proofErr w:type="spellStart"/>
            <w:r w:rsidRPr="000611DE">
              <w:rPr>
                <w:rStyle w:val="Strong"/>
                <w:sz w:val="20"/>
              </w:rPr>
              <w:t>mOsmol</w:t>
            </w:r>
            <w:proofErr w:type="spellEnd"/>
            <w:r w:rsidRPr="000611DE">
              <w:rPr>
                <w:rStyle w:val="Strong"/>
                <w:sz w:val="20"/>
              </w:rPr>
              <w:t>/kg)</w:t>
            </w:r>
          </w:p>
        </w:tc>
        <w:tc>
          <w:tcPr>
            <w:tcW w:w="992" w:type="dxa"/>
            <w:hideMark/>
          </w:tcPr>
          <w:p w:rsidR="00A9302D" w:rsidRPr="000611DE" w:rsidRDefault="00A9302D" w:rsidP="000611DE">
            <w:pPr>
              <w:ind w:right="-111"/>
              <w:rPr>
                <w:sz w:val="20"/>
              </w:rPr>
            </w:pPr>
            <w:r w:rsidRPr="000611DE">
              <w:rPr>
                <w:rStyle w:val="Strong"/>
                <w:sz w:val="20"/>
              </w:rPr>
              <w:t>pH</w:t>
            </w:r>
          </w:p>
        </w:tc>
      </w:tr>
      <w:tr w:rsidR="00A9302D" w:rsidRPr="000611DE" w:rsidTr="000611DE">
        <w:tc>
          <w:tcPr>
            <w:tcW w:w="1134" w:type="dxa"/>
            <w:hideMark/>
          </w:tcPr>
          <w:p w:rsidR="00A9302D" w:rsidRPr="000611DE" w:rsidRDefault="00A9302D" w:rsidP="00A9302D">
            <w:pPr>
              <w:rPr>
                <w:b/>
                <w:sz w:val="20"/>
              </w:rPr>
            </w:pPr>
            <w:r w:rsidRPr="000611DE">
              <w:rPr>
                <w:b/>
                <w:sz w:val="20"/>
              </w:rPr>
              <w:t>Plasma</w:t>
            </w:r>
          </w:p>
        </w:tc>
        <w:tc>
          <w:tcPr>
            <w:tcW w:w="993" w:type="dxa"/>
            <w:hideMark/>
          </w:tcPr>
          <w:p w:rsidR="00A9302D" w:rsidRPr="000611DE" w:rsidRDefault="00A9302D" w:rsidP="00A9302D">
            <w:pPr>
              <w:rPr>
                <w:sz w:val="20"/>
              </w:rPr>
            </w:pPr>
            <w:r w:rsidRPr="000611DE">
              <w:rPr>
                <w:sz w:val="20"/>
              </w:rPr>
              <w:t>135-145</w:t>
            </w:r>
          </w:p>
        </w:tc>
        <w:tc>
          <w:tcPr>
            <w:tcW w:w="992" w:type="dxa"/>
          </w:tcPr>
          <w:p w:rsidR="00A9302D" w:rsidRPr="000611DE" w:rsidRDefault="00A9302D" w:rsidP="00A9302D">
            <w:pPr>
              <w:rPr>
                <w:sz w:val="20"/>
              </w:rPr>
            </w:pPr>
            <w:r w:rsidRPr="000611DE">
              <w:rPr>
                <w:sz w:val="20"/>
              </w:rPr>
              <w:t>95-105</w:t>
            </w:r>
          </w:p>
        </w:tc>
        <w:tc>
          <w:tcPr>
            <w:tcW w:w="992" w:type="dxa"/>
            <w:hideMark/>
          </w:tcPr>
          <w:p w:rsidR="00A9302D" w:rsidRPr="000611DE" w:rsidRDefault="00A9302D" w:rsidP="00A9302D">
            <w:pPr>
              <w:rPr>
                <w:sz w:val="20"/>
              </w:rPr>
            </w:pPr>
            <w:r w:rsidRPr="000611DE">
              <w:rPr>
                <w:sz w:val="20"/>
              </w:rPr>
              <w:t>3.5-5.3</w:t>
            </w:r>
          </w:p>
        </w:tc>
        <w:tc>
          <w:tcPr>
            <w:tcW w:w="1134" w:type="dxa"/>
            <w:hideMark/>
          </w:tcPr>
          <w:p w:rsidR="00A9302D" w:rsidRPr="000611DE" w:rsidRDefault="00A9302D" w:rsidP="00A9302D">
            <w:pPr>
              <w:rPr>
                <w:sz w:val="20"/>
              </w:rPr>
            </w:pPr>
            <w:r w:rsidRPr="000611DE">
              <w:rPr>
                <w:sz w:val="20"/>
              </w:rPr>
              <w:t>0.8-1.2</w:t>
            </w:r>
          </w:p>
        </w:tc>
        <w:tc>
          <w:tcPr>
            <w:tcW w:w="992" w:type="dxa"/>
            <w:hideMark/>
          </w:tcPr>
          <w:p w:rsidR="00A9302D" w:rsidRPr="000611DE" w:rsidRDefault="00A9302D" w:rsidP="00A9302D">
            <w:pPr>
              <w:rPr>
                <w:sz w:val="20"/>
              </w:rPr>
            </w:pPr>
            <w:r w:rsidRPr="000611DE">
              <w:rPr>
                <w:sz w:val="20"/>
              </w:rPr>
              <w:t>2.2-2.6</w:t>
            </w:r>
          </w:p>
        </w:tc>
        <w:tc>
          <w:tcPr>
            <w:tcW w:w="993"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851" w:type="dxa"/>
            <w:hideMark/>
          </w:tcPr>
          <w:p w:rsidR="00A9302D" w:rsidRPr="000611DE" w:rsidRDefault="00A9302D" w:rsidP="00A9302D">
            <w:pPr>
              <w:rPr>
                <w:sz w:val="20"/>
              </w:rPr>
            </w:pPr>
            <w:r w:rsidRPr="000611DE">
              <w:rPr>
                <w:sz w:val="20"/>
              </w:rPr>
              <w:t>42</w:t>
            </w:r>
          </w:p>
        </w:tc>
        <w:tc>
          <w:tcPr>
            <w:tcW w:w="1276" w:type="dxa"/>
            <w:hideMark/>
          </w:tcPr>
          <w:p w:rsidR="00A9302D" w:rsidRPr="000611DE" w:rsidRDefault="00A9302D" w:rsidP="00A9302D">
            <w:pPr>
              <w:rPr>
                <w:sz w:val="20"/>
              </w:rPr>
            </w:pPr>
            <w:r w:rsidRPr="000611DE">
              <w:rPr>
                <w:sz w:val="20"/>
              </w:rPr>
              <w:t>291</w:t>
            </w:r>
          </w:p>
        </w:tc>
        <w:tc>
          <w:tcPr>
            <w:tcW w:w="1701" w:type="dxa"/>
            <w:hideMark/>
          </w:tcPr>
          <w:p w:rsidR="00A9302D" w:rsidRPr="000611DE" w:rsidRDefault="00A9302D" w:rsidP="00A9302D">
            <w:pPr>
              <w:rPr>
                <w:sz w:val="20"/>
              </w:rPr>
            </w:pPr>
            <w:r w:rsidRPr="000611DE">
              <w:rPr>
                <w:sz w:val="20"/>
              </w:rPr>
              <w:t>287</w:t>
            </w:r>
          </w:p>
        </w:tc>
        <w:tc>
          <w:tcPr>
            <w:tcW w:w="992" w:type="dxa"/>
            <w:hideMark/>
          </w:tcPr>
          <w:p w:rsidR="00A9302D" w:rsidRPr="000611DE" w:rsidRDefault="00A9302D" w:rsidP="00A9302D">
            <w:pPr>
              <w:rPr>
                <w:sz w:val="20"/>
              </w:rPr>
            </w:pPr>
            <w:r w:rsidRPr="000611DE">
              <w:rPr>
                <w:sz w:val="20"/>
              </w:rPr>
              <w:t>7.35-7.45</w:t>
            </w:r>
          </w:p>
        </w:tc>
      </w:tr>
      <w:tr w:rsidR="00A9302D" w:rsidRPr="000611DE" w:rsidTr="000611DE">
        <w:tc>
          <w:tcPr>
            <w:tcW w:w="1134" w:type="dxa"/>
            <w:hideMark/>
          </w:tcPr>
          <w:p w:rsidR="00A9302D" w:rsidRPr="000611DE" w:rsidRDefault="00A9302D" w:rsidP="00A9302D">
            <w:pPr>
              <w:rPr>
                <w:b/>
                <w:sz w:val="20"/>
              </w:rPr>
            </w:pPr>
            <w:r w:rsidRPr="000611DE">
              <w:rPr>
                <w:b/>
                <w:sz w:val="20"/>
              </w:rPr>
              <w:t>Sodium chloride (0.9%)</w:t>
            </w:r>
          </w:p>
        </w:tc>
        <w:tc>
          <w:tcPr>
            <w:tcW w:w="993" w:type="dxa"/>
            <w:hideMark/>
          </w:tcPr>
          <w:p w:rsidR="00A9302D" w:rsidRPr="000611DE" w:rsidRDefault="00A9302D" w:rsidP="00A9302D">
            <w:pPr>
              <w:rPr>
                <w:sz w:val="20"/>
              </w:rPr>
            </w:pPr>
            <w:r w:rsidRPr="000611DE">
              <w:rPr>
                <w:sz w:val="20"/>
              </w:rPr>
              <w:t>154</w:t>
            </w:r>
          </w:p>
        </w:tc>
        <w:tc>
          <w:tcPr>
            <w:tcW w:w="992" w:type="dxa"/>
          </w:tcPr>
          <w:p w:rsidR="00A9302D" w:rsidRPr="000611DE" w:rsidRDefault="00A9302D" w:rsidP="00A9302D">
            <w:pPr>
              <w:rPr>
                <w:sz w:val="20"/>
              </w:rPr>
            </w:pPr>
            <w:r w:rsidRPr="000611DE">
              <w:rPr>
                <w:sz w:val="20"/>
              </w:rPr>
              <w:t>154</w:t>
            </w:r>
          </w:p>
        </w:tc>
        <w:tc>
          <w:tcPr>
            <w:tcW w:w="992" w:type="dxa"/>
            <w:hideMark/>
          </w:tcPr>
          <w:p w:rsidR="00A9302D" w:rsidRPr="000611DE" w:rsidRDefault="00A9302D" w:rsidP="00A9302D">
            <w:pPr>
              <w:rPr>
                <w:sz w:val="20"/>
              </w:rPr>
            </w:pPr>
            <w:r w:rsidRPr="000611DE">
              <w:rPr>
                <w:sz w:val="20"/>
              </w:rPr>
              <w:t>Nil</w:t>
            </w:r>
          </w:p>
        </w:tc>
        <w:tc>
          <w:tcPr>
            <w:tcW w:w="1134"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3"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851" w:type="dxa"/>
            <w:hideMark/>
          </w:tcPr>
          <w:p w:rsidR="00A9302D" w:rsidRPr="000611DE" w:rsidRDefault="00A9302D" w:rsidP="00A9302D">
            <w:pPr>
              <w:rPr>
                <w:sz w:val="20"/>
              </w:rPr>
            </w:pPr>
            <w:r w:rsidRPr="000611DE">
              <w:rPr>
                <w:sz w:val="20"/>
              </w:rPr>
              <w:t>0</w:t>
            </w:r>
          </w:p>
        </w:tc>
        <w:tc>
          <w:tcPr>
            <w:tcW w:w="1276" w:type="dxa"/>
            <w:hideMark/>
          </w:tcPr>
          <w:p w:rsidR="00A9302D" w:rsidRPr="000611DE" w:rsidRDefault="00A9302D" w:rsidP="00A9302D">
            <w:pPr>
              <w:rPr>
                <w:sz w:val="20"/>
              </w:rPr>
            </w:pPr>
            <w:r w:rsidRPr="000611DE">
              <w:rPr>
                <w:sz w:val="20"/>
              </w:rPr>
              <w:t>308</w:t>
            </w:r>
          </w:p>
        </w:tc>
        <w:tc>
          <w:tcPr>
            <w:tcW w:w="1701" w:type="dxa"/>
            <w:hideMark/>
          </w:tcPr>
          <w:p w:rsidR="00A9302D" w:rsidRPr="000611DE" w:rsidRDefault="00A9302D" w:rsidP="00A9302D">
            <w:pPr>
              <w:rPr>
                <w:sz w:val="20"/>
              </w:rPr>
            </w:pPr>
            <w:r w:rsidRPr="000611DE">
              <w:rPr>
                <w:sz w:val="20"/>
              </w:rPr>
              <w:t>286</w:t>
            </w:r>
          </w:p>
        </w:tc>
        <w:tc>
          <w:tcPr>
            <w:tcW w:w="992" w:type="dxa"/>
            <w:hideMark/>
          </w:tcPr>
          <w:p w:rsidR="00A9302D" w:rsidRPr="000611DE" w:rsidRDefault="00A9302D" w:rsidP="00A9302D">
            <w:pPr>
              <w:rPr>
                <w:sz w:val="20"/>
              </w:rPr>
            </w:pPr>
            <w:r w:rsidRPr="000611DE">
              <w:rPr>
                <w:sz w:val="20"/>
              </w:rPr>
              <w:t>4.5-7</w:t>
            </w:r>
          </w:p>
        </w:tc>
      </w:tr>
      <w:tr w:rsidR="00A9302D" w:rsidRPr="000611DE" w:rsidTr="000611DE">
        <w:tc>
          <w:tcPr>
            <w:tcW w:w="1134" w:type="dxa"/>
            <w:hideMark/>
          </w:tcPr>
          <w:p w:rsidR="00A9302D" w:rsidRPr="000611DE" w:rsidRDefault="00A9302D" w:rsidP="00A9302D">
            <w:pPr>
              <w:rPr>
                <w:b/>
                <w:sz w:val="20"/>
              </w:rPr>
            </w:pPr>
            <w:r w:rsidRPr="000611DE">
              <w:rPr>
                <w:b/>
                <w:sz w:val="20"/>
              </w:rPr>
              <w:t>Compound sodium Lactate</w:t>
            </w:r>
          </w:p>
        </w:tc>
        <w:tc>
          <w:tcPr>
            <w:tcW w:w="993" w:type="dxa"/>
            <w:hideMark/>
          </w:tcPr>
          <w:p w:rsidR="00A9302D" w:rsidRPr="000611DE" w:rsidRDefault="00A9302D" w:rsidP="00A9302D">
            <w:pPr>
              <w:rPr>
                <w:sz w:val="20"/>
              </w:rPr>
            </w:pPr>
            <w:r w:rsidRPr="000611DE">
              <w:rPr>
                <w:sz w:val="20"/>
              </w:rPr>
              <w:t>131</w:t>
            </w:r>
          </w:p>
        </w:tc>
        <w:tc>
          <w:tcPr>
            <w:tcW w:w="992" w:type="dxa"/>
          </w:tcPr>
          <w:p w:rsidR="00A9302D" w:rsidRPr="000611DE" w:rsidRDefault="00A9302D" w:rsidP="00A9302D">
            <w:pPr>
              <w:rPr>
                <w:sz w:val="20"/>
              </w:rPr>
            </w:pPr>
            <w:r w:rsidRPr="000611DE">
              <w:rPr>
                <w:sz w:val="20"/>
              </w:rPr>
              <w:t>111</w:t>
            </w:r>
          </w:p>
        </w:tc>
        <w:tc>
          <w:tcPr>
            <w:tcW w:w="992" w:type="dxa"/>
            <w:hideMark/>
          </w:tcPr>
          <w:p w:rsidR="00A9302D" w:rsidRPr="000611DE" w:rsidRDefault="00A9302D" w:rsidP="00A9302D">
            <w:pPr>
              <w:rPr>
                <w:sz w:val="20"/>
              </w:rPr>
            </w:pPr>
            <w:r w:rsidRPr="000611DE">
              <w:rPr>
                <w:sz w:val="20"/>
              </w:rPr>
              <w:t>5</w:t>
            </w:r>
          </w:p>
        </w:tc>
        <w:tc>
          <w:tcPr>
            <w:tcW w:w="1134"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2</w:t>
            </w:r>
          </w:p>
        </w:tc>
        <w:tc>
          <w:tcPr>
            <w:tcW w:w="993"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29</w:t>
            </w:r>
          </w:p>
        </w:tc>
        <w:tc>
          <w:tcPr>
            <w:tcW w:w="992" w:type="dxa"/>
            <w:hideMark/>
          </w:tcPr>
          <w:p w:rsidR="00A9302D" w:rsidRPr="000611DE" w:rsidRDefault="00A9302D" w:rsidP="00A9302D">
            <w:pPr>
              <w:rPr>
                <w:sz w:val="20"/>
              </w:rPr>
            </w:pPr>
            <w:r w:rsidRPr="000611DE">
              <w:rPr>
                <w:sz w:val="20"/>
              </w:rPr>
              <w:t>Nil</w:t>
            </w:r>
          </w:p>
        </w:tc>
        <w:tc>
          <w:tcPr>
            <w:tcW w:w="851" w:type="dxa"/>
            <w:hideMark/>
          </w:tcPr>
          <w:p w:rsidR="00A9302D" w:rsidRPr="000611DE" w:rsidRDefault="00A9302D" w:rsidP="00A9302D">
            <w:pPr>
              <w:rPr>
                <w:sz w:val="20"/>
              </w:rPr>
            </w:pPr>
            <w:r w:rsidRPr="000611DE">
              <w:rPr>
                <w:sz w:val="20"/>
              </w:rPr>
              <w:t>29</w:t>
            </w:r>
          </w:p>
        </w:tc>
        <w:tc>
          <w:tcPr>
            <w:tcW w:w="1276" w:type="dxa"/>
            <w:hideMark/>
          </w:tcPr>
          <w:p w:rsidR="00A9302D" w:rsidRPr="000611DE" w:rsidRDefault="00A9302D" w:rsidP="00A9302D">
            <w:pPr>
              <w:rPr>
                <w:sz w:val="20"/>
              </w:rPr>
            </w:pPr>
            <w:r w:rsidRPr="000611DE">
              <w:rPr>
                <w:sz w:val="20"/>
              </w:rPr>
              <w:t>278</w:t>
            </w:r>
          </w:p>
        </w:tc>
        <w:tc>
          <w:tcPr>
            <w:tcW w:w="1701" w:type="dxa"/>
            <w:hideMark/>
          </w:tcPr>
          <w:p w:rsidR="00A9302D" w:rsidRPr="000611DE" w:rsidRDefault="00A9302D" w:rsidP="00A9302D">
            <w:pPr>
              <w:rPr>
                <w:sz w:val="20"/>
              </w:rPr>
            </w:pPr>
            <w:r w:rsidRPr="000611DE">
              <w:rPr>
                <w:sz w:val="20"/>
              </w:rPr>
              <w:t>278</w:t>
            </w:r>
          </w:p>
        </w:tc>
        <w:tc>
          <w:tcPr>
            <w:tcW w:w="992" w:type="dxa"/>
            <w:hideMark/>
          </w:tcPr>
          <w:p w:rsidR="00A9302D" w:rsidRPr="000611DE" w:rsidRDefault="00A9302D" w:rsidP="00A9302D">
            <w:pPr>
              <w:rPr>
                <w:sz w:val="20"/>
              </w:rPr>
            </w:pPr>
            <w:r w:rsidRPr="000611DE">
              <w:rPr>
                <w:sz w:val="20"/>
              </w:rPr>
              <w:t>5-7</w:t>
            </w:r>
          </w:p>
        </w:tc>
      </w:tr>
      <w:tr w:rsidR="00A9302D" w:rsidRPr="000611DE" w:rsidTr="000611DE">
        <w:tc>
          <w:tcPr>
            <w:tcW w:w="1134" w:type="dxa"/>
            <w:hideMark/>
          </w:tcPr>
          <w:p w:rsidR="00A9302D" w:rsidRPr="000611DE" w:rsidRDefault="00A9302D" w:rsidP="00A9302D">
            <w:pPr>
              <w:rPr>
                <w:b/>
                <w:sz w:val="20"/>
              </w:rPr>
            </w:pPr>
            <w:r w:rsidRPr="000611DE">
              <w:rPr>
                <w:b/>
                <w:sz w:val="20"/>
              </w:rPr>
              <w:t>Plasma-</w:t>
            </w:r>
            <w:proofErr w:type="spellStart"/>
            <w:r w:rsidRPr="000611DE">
              <w:rPr>
                <w:b/>
                <w:sz w:val="20"/>
              </w:rPr>
              <w:t>Lyte</w:t>
            </w:r>
            <w:proofErr w:type="spellEnd"/>
            <w:r w:rsidRPr="000611DE">
              <w:rPr>
                <w:b/>
                <w:sz w:val="20"/>
              </w:rPr>
              <w:t xml:space="preserve"> 148</w:t>
            </w:r>
          </w:p>
        </w:tc>
        <w:tc>
          <w:tcPr>
            <w:tcW w:w="993" w:type="dxa"/>
            <w:hideMark/>
          </w:tcPr>
          <w:p w:rsidR="00A9302D" w:rsidRPr="000611DE" w:rsidRDefault="00A9302D" w:rsidP="00A9302D">
            <w:pPr>
              <w:rPr>
                <w:sz w:val="20"/>
              </w:rPr>
            </w:pPr>
            <w:r w:rsidRPr="000611DE">
              <w:rPr>
                <w:sz w:val="20"/>
              </w:rPr>
              <w:t>140</w:t>
            </w:r>
          </w:p>
        </w:tc>
        <w:tc>
          <w:tcPr>
            <w:tcW w:w="992" w:type="dxa"/>
          </w:tcPr>
          <w:p w:rsidR="00A9302D" w:rsidRPr="000611DE" w:rsidRDefault="00A9302D" w:rsidP="00A9302D">
            <w:pPr>
              <w:rPr>
                <w:sz w:val="20"/>
              </w:rPr>
            </w:pPr>
            <w:r w:rsidRPr="000611DE">
              <w:rPr>
                <w:sz w:val="20"/>
              </w:rPr>
              <w:t>98</w:t>
            </w:r>
          </w:p>
        </w:tc>
        <w:tc>
          <w:tcPr>
            <w:tcW w:w="992" w:type="dxa"/>
            <w:hideMark/>
          </w:tcPr>
          <w:p w:rsidR="00A9302D" w:rsidRPr="000611DE" w:rsidRDefault="00A9302D" w:rsidP="00A9302D">
            <w:pPr>
              <w:rPr>
                <w:sz w:val="20"/>
              </w:rPr>
            </w:pPr>
            <w:r w:rsidRPr="000611DE">
              <w:rPr>
                <w:sz w:val="20"/>
              </w:rPr>
              <w:t>5</w:t>
            </w:r>
          </w:p>
        </w:tc>
        <w:tc>
          <w:tcPr>
            <w:tcW w:w="1134" w:type="dxa"/>
            <w:hideMark/>
          </w:tcPr>
          <w:p w:rsidR="00A9302D" w:rsidRPr="000611DE" w:rsidRDefault="00A9302D" w:rsidP="00A9302D">
            <w:pPr>
              <w:rPr>
                <w:sz w:val="20"/>
              </w:rPr>
            </w:pPr>
            <w:r w:rsidRPr="000611DE">
              <w:rPr>
                <w:sz w:val="20"/>
              </w:rPr>
              <w:t>1.5</w:t>
            </w:r>
          </w:p>
        </w:tc>
        <w:tc>
          <w:tcPr>
            <w:tcW w:w="992" w:type="dxa"/>
            <w:hideMark/>
          </w:tcPr>
          <w:p w:rsidR="00A9302D" w:rsidRPr="000611DE" w:rsidRDefault="00A9302D" w:rsidP="00A9302D">
            <w:pPr>
              <w:rPr>
                <w:sz w:val="20"/>
              </w:rPr>
            </w:pPr>
            <w:r w:rsidRPr="000611DE">
              <w:rPr>
                <w:sz w:val="20"/>
              </w:rPr>
              <w:t>Nil</w:t>
            </w:r>
          </w:p>
        </w:tc>
        <w:tc>
          <w:tcPr>
            <w:tcW w:w="993" w:type="dxa"/>
            <w:hideMark/>
          </w:tcPr>
          <w:p w:rsidR="00A9302D" w:rsidRPr="000611DE" w:rsidRDefault="00A9302D" w:rsidP="00A9302D">
            <w:pPr>
              <w:rPr>
                <w:sz w:val="20"/>
              </w:rPr>
            </w:pPr>
            <w:r w:rsidRPr="000611DE">
              <w:rPr>
                <w:sz w:val="20"/>
              </w:rPr>
              <w:t>27</w:t>
            </w:r>
          </w:p>
        </w:tc>
        <w:tc>
          <w:tcPr>
            <w:tcW w:w="992" w:type="dxa"/>
            <w:hideMark/>
          </w:tcPr>
          <w:p w:rsidR="00A9302D" w:rsidRPr="000611DE" w:rsidRDefault="00A9302D" w:rsidP="00A9302D">
            <w:pPr>
              <w:rPr>
                <w:sz w:val="20"/>
              </w:rPr>
            </w:pPr>
            <w:r w:rsidRPr="000611DE">
              <w:rPr>
                <w:sz w:val="20"/>
              </w:rPr>
              <w:t>23</w:t>
            </w:r>
          </w:p>
        </w:tc>
        <w:tc>
          <w:tcPr>
            <w:tcW w:w="992" w:type="dxa"/>
            <w:hideMark/>
          </w:tcPr>
          <w:p w:rsidR="00A9302D" w:rsidRPr="000611DE" w:rsidRDefault="00A9302D" w:rsidP="00A9302D">
            <w:pPr>
              <w:rPr>
                <w:sz w:val="20"/>
              </w:rPr>
            </w:pPr>
            <w:r w:rsidRPr="000611DE">
              <w:rPr>
                <w:sz w:val="20"/>
              </w:rPr>
              <w:t>Nil</w:t>
            </w:r>
          </w:p>
        </w:tc>
        <w:tc>
          <w:tcPr>
            <w:tcW w:w="992" w:type="dxa"/>
            <w:hideMark/>
          </w:tcPr>
          <w:p w:rsidR="00A9302D" w:rsidRPr="000611DE" w:rsidRDefault="00A9302D" w:rsidP="00A9302D">
            <w:pPr>
              <w:rPr>
                <w:sz w:val="20"/>
              </w:rPr>
            </w:pPr>
            <w:r w:rsidRPr="000611DE">
              <w:rPr>
                <w:sz w:val="20"/>
              </w:rPr>
              <w:t>Nil</w:t>
            </w:r>
          </w:p>
        </w:tc>
        <w:tc>
          <w:tcPr>
            <w:tcW w:w="851" w:type="dxa"/>
            <w:hideMark/>
          </w:tcPr>
          <w:p w:rsidR="00A9302D" w:rsidRPr="000611DE" w:rsidRDefault="00A9302D" w:rsidP="00A9302D">
            <w:pPr>
              <w:rPr>
                <w:sz w:val="20"/>
              </w:rPr>
            </w:pPr>
            <w:r w:rsidRPr="000611DE">
              <w:rPr>
                <w:sz w:val="20"/>
              </w:rPr>
              <w:t>50</w:t>
            </w:r>
          </w:p>
        </w:tc>
        <w:tc>
          <w:tcPr>
            <w:tcW w:w="1276" w:type="dxa"/>
            <w:hideMark/>
          </w:tcPr>
          <w:p w:rsidR="00A9302D" w:rsidRPr="000611DE" w:rsidRDefault="00A9302D" w:rsidP="00A9302D">
            <w:pPr>
              <w:rPr>
                <w:sz w:val="20"/>
              </w:rPr>
            </w:pPr>
            <w:r w:rsidRPr="000611DE">
              <w:rPr>
                <w:sz w:val="20"/>
              </w:rPr>
              <w:t>295</w:t>
            </w:r>
          </w:p>
        </w:tc>
        <w:tc>
          <w:tcPr>
            <w:tcW w:w="1701" w:type="dxa"/>
            <w:hideMark/>
          </w:tcPr>
          <w:p w:rsidR="00A9302D" w:rsidRPr="000611DE" w:rsidRDefault="00A9302D" w:rsidP="00A9302D">
            <w:pPr>
              <w:rPr>
                <w:sz w:val="20"/>
              </w:rPr>
            </w:pPr>
            <w:r w:rsidRPr="000611DE">
              <w:rPr>
                <w:sz w:val="20"/>
              </w:rPr>
              <w:t>271</w:t>
            </w:r>
          </w:p>
        </w:tc>
        <w:tc>
          <w:tcPr>
            <w:tcW w:w="992" w:type="dxa"/>
            <w:hideMark/>
          </w:tcPr>
          <w:p w:rsidR="00A9302D" w:rsidRPr="000611DE" w:rsidRDefault="00A9302D" w:rsidP="00A9302D">
            <w:pPr>
              <w:rPr>
                <w:sz w:val="20"/>
              </w:rPr>
            </w:pPr>
            <w:r w:rsidRPr="000611DE">
              <w:rPr>
                <w:sz w:val="20"/>
              </w:rPr>
              <w:t>Approx. 7.4</w:t>
            </w:r>
          </w:p>
        </w:tc>
      </w:tr>
    </w:tbl>
    <w:p w:rsidR="000F5256" w:rsidRPr="006B03C9" w:rsidRDefault="000F5256" w:rsidP="0028726A">
      <w:pPr>
        <w:jc w:val="both"/>
        <w:rPr>
          <w:rFonts w:ascii="Calibri" w:hAnsi="Calibri"/>
        </w:rPr>
      </w:pPr>
    </w:p>
    <w:sectPr w:rsidR="000F5256" w:rsidRPr="006B03C9" w:rsidSect="002872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3F" w:rsidRDefault="009A1A3F" w:rsidP="002E1648">
      <w:r>
        <w:separator/>
      </w:r>
    </w:p>
  </w:endnote>
  <w:endnote w:type="continuationSeparator" w:id="0">
    <w:p w:rsidR="009A1A3F" w:rsidRDefault="009A1A3F" w:rsidP="002E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3F" w:rsidRDefault="009A1A3F" w:rsidP="002E1648">
      <w:r>
        <w:separator/>
      </w:r>
    </w:p>
  </w:footnote>
  <w:footnote w:type="continuationSeparator" w:id="0">
    <w:p w:rsidR="009A1A3F" w:rsidRDefault="009A1A3F" w:rsidP="002E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Header"/>
    </w:pPr>
    <w:sdt>
      <w:sdtPr>
        <w:id w:val="-1825033533"/>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-76338</wp:posOffset>
          </wp:positionV>
          <wp:extent cx="1101563" cy="540000"/>
          <wp:effectExtent l="0" t="0" r="3810" b="0"/>
          <wp:wrapSquare wrapText="bothSides"/>
          <wp:docPr id="32" name="Picture 32" descr="Manx Care' goes live tomorrow - 3FM Isle of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x Care' goes live tomorrow - 3FM Isle of M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563"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A" w:rsidRDefault="0028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688"/>
    <w:multiLevelType w:val="hybridMultilevel"/>
    <w:tmpl w:val="21B8D7E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75A158B"/>
    <w:multiLevelType w:val="hybridMultilevel"/>
    <w:tmpl w:val="332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B647C"/>
    <w:multiLevelType w:val="hybridMultilevel"/>
    <w:tmpl w:val="48D0E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8531C"/>
    <w:multiLevelType w:val="hybridMultilevel"/>
    <w:tmpl w:val="0C905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323360"/>
    <w:multiLevelType w:val="hybridMultilevel"/>
    <w:tmpl w:val="50401F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3263F"/>
    <w:multiLevelType w:val="hybridMultilevel"/>
    <w:tmpl w:val="E830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21322"/>
    <w:multiLevelType w:val="multilevel"/>
    <w:tmpl w:val="7932021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88D54C3"/>
    <w:multiLevelType w:val="hybridMultilevel"/>
    <w:tmpl w:val="B02A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95532"/>
    <w:multiLevelType w:val="hybridMultilevel"/>
    <w:tmpl w:val="67E411E2"/>
    <w:lvl w:ilvl="0" w:tplc="C91EF68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110A3"/>
    <w:multiLevelType w:val="hybridMultilevel"/>
    <w:tmpl w:val="CEBA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7374B"/>
    <w:multiLevelType w:val="hybridMultilevel"/>
    <w:tmpl w:val="C8667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D71EBC"/>
    <w:multiLevelType w:val="hybridMultilevel"/>
    <w:tmpl w:val="0CC09914"/>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12" w15:restartNumberingAfterBreak="0">
    <w:nsid w:val="609A47F2"/>
    <w:multiLevelType w:val="hybridMultilevel"/>
    <w:tmpl w:val="2A30C182"/>
    <w:lvl w:ilvl="0" w:tplc="F4002D1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9093C1E"/>
    <w:multiLevelType w:val="hybridMultilevel"/>
    <w:tmpl w:val="02C0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81907"/>
    <w:multiLevelType w:val="multilevel"/>
    <w:tmpl w:val="AEAA5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603F0E"/>
    <w:multiLevelType w:val="hybridMultilevel"/>
    <w:tmpl w:val="7722D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41F2"/>
    <w:multiLevelType w:val="multilevel"/>
    <w:tmpl w:val="5462BA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816F3E"/>
    <w:multiLevelType w:val="hybridMultilevel"/>
    <w:tmpl w:val="B5FADD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A4752A3"/>
    <w:multiLevelType w:val="multilevel"/>
    <w:tmpl w:val="FE0E200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455488"/>
    <w:multiLevelType w:val="hybridMultilevel"/>
    <w:tmpl w:val="06228550"/>
    <w:lvl w:ilvl="0" w:tplc="5D6EB2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2"/>
  </w:num>
  <w:num w:numId="6">
    <w:abstractNumId w:val="7"/>
  </w:num>
  <w:num w:numId="7">
    <w:abstractNumId w:val="16"/>
  </w:num>
  <w:num w:numId="8">
    <w:abstractNumId w:val="14"/>
  </w:num>
  <w:num w:numId="9">
    <w:abstractNumId w:val="2"/>
  </w:num>
  <w:num w:numId="10">
    <w:abstractNumId w:val="13"/>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8"/>
  </w:num>
  <w:num w:numId="17">
    <w:abstractNumId w:val="4"/>
  </w:num>
  <w:num w:numId="18">
    <w:abstractNumId w:val="1"/>
  </w:num>
  <w:num w:numId="19">
    <w:abstractNumId w:val="11"/>
  </w:num>
  <w:num w:numId="20">
    <w:abstractNumId w:val="19"/>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9"/>
    <w:rsid w:val="000611DE"/>
    <w:rsid w:val="000F5256"/>
    <w:rsid w:val="001241A3"/>
    <w:rsid w:val="00287083"/>
    <w:rsid w:val="0028726A"/>
    <w:rsid w:val="00287C87"/>
    <w:rsid w:val="002E1648"/>
    <w:rsid w:val="004349B7"/>
    <w:rsid w:val="00482B04"/>
    <w:rsid w:val="004B69D6"/>
    <w:rsid w:val="004E300D"/>
    <w:rsid w:val="0053081E"/>
    <w:rsid w:val="00582C91"/>
    <w:rsid w:val="006B03C9"/>
    <w:rsid w:val="007846BA"/>
    <w:rsid w:val="007A529C"/>
    <w:rsid w:val="007D23A2"/>
    <w:rsid w:val="00883FF1"/>
    <w:rsid w:val="008C585C"/>
    <w:rsid w:val="008E389E"/>
    <w:rsid w:val="00902B3B"/>
    <w:rsid w:val="00935E92"/>
    <w:rsid w:val="009A1A3F"/>
    <w:rsid w:val="009F7203"/>
    <w:rsid w:val="00A33A9B"/>
    <w:rsid w:val="00A43CFC"/>
    <w:rsid w:val="00A9302D"/>
    <w:rsid w:val="00C136D8"/>
    <w:rsid w:val="00CB05CC"/>
    <w:rsid w:val="00D62305"/>
    <w:rsid w:val="00D80F94"/>
    <w:rsid w:val="00DB095F"/>
    <w:rsid w:val="00DB5398"/>
    <w:rsid w:val="00E031C5"/>
    <w:rsid w:val="00F00FD4"/>
    <w:rsid w:val="00FD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942C1"/>
  <w15:chartTrackingRefBased/>
  <w15:docId w15:val="{890AC460-A98F-4D81-BE00-EEAD40B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C9"/>
    <w:pPr>
      <w:spacing w:after="0" w:line="240" w:lineRule="auto"/>
    </w:pPr>
    <w:rPr>
      <w:sz w:val="24"/>
      <w:szCs w:val="24"/>
    </w:rPr>
  </w:style>
  <w:style w:type="paragraph" w:styleId="Heading1">
    <w:name w:val="heading 1"/>
    <w:basedOn w:val="Normal"/>
    <w:next w:val="Normal"/>
    <w:link w:val="Heading1Char"/>
    <w:uiPriority w:val="9"/>
    <w:qFormat/>
    <w:rsid w:val="007D23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23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3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3C9"/>
    <w:pPr>
      <w:spacing w:after="0" w:line="240" w:lineRule="auto"/>
    </w:pPr>
  </w:style>
  <w:style w:type="table" w:customStyle="1" w:styleId="TableGrid1">
    <w:name w:val="Table Grid1"/>
    <w:basedOn w:val="TableNormal"/>
    <w:next w:val="TableGrid"/>
    <w:uiPriority w:val="59"/>
    <w:rsid w:val="006B03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B03C9"/>
  </w:style>
  <w:style w:type="table" w:styleId="TableGrid">
    <w:name w:val="Table Grid"/>
    <w:basedOn w:val="TableNormal"/>
    <w:uiPriority w:val="39"/>
    <w:rsid w:val="006B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03C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F5256"/>
    <w:pPr>
      <w:spacing w:after="200" w:line="276" w:lineRule="auto"/>
      <w:ind w:left="720"/>
      <w:contextualSpacing/>
    </w:pPr>
    <w:rPr>
      <w:rFonts w:ascii="Tahoma" w:hAnsi="Tahoma"/>
      <w:sz w:val="22"/>
      <w:szCs w:val="22"/>
    </w:rPr>
  </w:style>
  <w:style w:type="character" w:styleId="Strong">
    <w:name w:val="Strong"/>
    <w:basedOn w:val="DefaultParagraphFont"/>
    <w:uiPriority w:val="22"/>
    <w:qFormat/>
    <w:rsid w:val="000F5256"/>
    <w:rPr>
      <w:b/>
      <w:bCs/>
    </w:rPr>
  </w:style>
  <w:style w:type="character" w:styleId="Hyperlink">
    <w:name w:val="Hyperlink"/>
    <w:basedOn w:val="DefaultParagraphFont"/>
    <w:uiPriority w:val="99"/>
    <w:unhideWhenUsed/>
    <w:rsid w:val="004E300D"/>
    <w:rPr>
      <w:color w:val="0563C1" w:themeColor="hyperlink"/>
      <w:u w:val="single"/>
    </w:rPr>
  </w:style>
  <w:style w:type="paragraph" w:styleId="Header">
    <w:name w:val="header"/>
    <w:basedOn w:val="Normal"/>
    <w:link w:val="HeaderChar"/>
    <w:uiPriority w:val="99"/>
    <w:unhideWhenUsed/>
    <w:rsid w:val="002E1648"/>
    <w:pPr>
      <w:tabs>
        <w:tab w:val="center" w:pos="4513"/>
        <w:tab w:val="right" w:pos="9026"/>
      </w:tabs>
    </w:pPr>
  </w:style>
  <w:style w:type="character" w:customStyle="1" w:styleId="HeaderChar">
    <w:name w:val="Header Char"/>
    <w:basedOn w:val="DefaultParagraphFont"/>
    <w:link w:val="Header"/>
    <w:uiPriority w:val="99"/>
    <w:rsid w:val="002E1648"/>
    <w:rPr>
      <w:sz w:val="24"/>
      <w:szCs w:val="24"/>
    </w:rPr>
  </w:style>
  <w:style w:type="paragraph" w:styleId="Footer">
    <w:name w:val="footer"/>
    <w:basedOn w:val="Normal"/>
    <w:link w:val="FooterChar"/>
    <w:uiPriority w:val="99"/>
    <w:unhideWhenUsed/>
    <w:rsid w:val="002E1648"/>
    <w:pPr>
      <w:tabs>
        <w:tab w:val="center" w:pos="4513"/>
        <w:tab w:val="right" w:pos="9026"/>
      </w:tabs>
    </w:pPr>
  </w:style>
  <w:style w:type="character" w:customStyle="1" w:styleId="FooterChar">
    <w:name w:val="Footer Char"/>
    <w:basedOn w:val="DefaultParagraphFont"/>
    <w:link w:val="Footer"/>
    <w:uiPriority w:val="99"/>
    <w:rsid w:val="002E1648"/>
    <w:rPr>
      <w:sz w:val="24"/>
      <w:szCs w:val="24"/>
    </w:rPr>
  </w:style>
  <w:style w:type="character" w:customStyle="1" w:styleId="Heading1Char">
    <w:name w:val="Heading 1 Char"/>
    <w:basedOn w:val="DefaultParagraphFont"/>
    <w:link w:val="Heading1"/>
    <w:uiPriority w:val="9"/>
    <w:rsid w:val="007D23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23A2"/>
    <w:pPr>
      <w:spacing w:line="259" w:lineRule="auto"/>
      <w:outlineLvl w:val="9"/>
    </w:pPr>
    <w:rPr>
      <w:lang w:val="en-US"/>
    </w:rPr>
  </w:style>
  <w:style w:type="paragraph" w:styleId="TOC1">
    <w:name w:val="toc 1"/>
    <w:basedOn w:val="Normal"/>
    <w:next w:val="Normal"/>
    <w:autoRedefine/>
    <w:uiPriority w:val="39"/>
    <w:unhideWhenUsed/>
    <w:rsid w:val="0028726A"/>
    <w:pPr>
      <w:tabs>
        <w:tab w:val="left" w:pos="440"/>
        <w:tab w:val="right" w:leader="dot" w:pos="9016"/>
      </w:tabs>
      <w:spacing w:after="100"/>
    </w:pPr>
    <w:rPr>
      <w:rFonts w:cstheme="minorHAnsi"/>
      <w:noProof/>
    </w:rPr>
  </w:style>
  <w:style w:type="character" w:customStyle="1" w:styleId="Heading2Char">
    <w:name w:val="Heading 2 Char"/>
    <w:basedOn w:val="DefaultParagraphFont"/>
    <w:link w:val="Heading2"/>
    <w:uiPriority w:val="9"/>
    <w:rsid w:val="007D23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3A2"/>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28726A"/>
    <w:pPr>
      <w:spacing w:after="100"/>
      <w:ind w:left="240"/>
    </w:pPr>
  </w:style>
  <w:style w:type="paragraph" w:styleId="TOC3">
    <w:name w:val="toc 3"/>
    <w:basedOn w:val="Normal"/>
    <w:next w:val="Normal"/>
    <w:autoRedefine/>
    <w:uiPriority w:val="39"/>
    <w:unhideWhenUsed/>
    <w:rsid w:val="00287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8601">
      <w:bodyDiv w:val="1"/>
      <w:marLeft w:val="0"/>
      <w:marRight w:val="0"/>
      <w:marTop w:val="0"/>
      <w:marBottom w:val="0"/>
      <w:divBdr>
        <w:top w:val="none" w:sz="0" w:space="0" w:color="auto"/>
        <w:left w:val="none" w:sz="0" w:space="0" w:color="auto"/>
        <w:bottom w:val="none" w:sz="0" w:space="0" w:color="auto"/>
        <w:right w:val="none" w:sz="0" w:space="0" w:color="auto"/>
      </w:divBdr>
    </w:div>
    <w:div w:id="104811731">
      <w:bodyDiv w:val="1"/>
      <w:marLeft w:val="0"/>
      <w:marRight w:val="0"/>
      <w:marTop w:val="0"/>
      <w:marBottom w:val="0"/>
      <w:divBdr>
        <w:top w:val="none" w:sz="0" w:space="0" w:color="auto"/>
        <w:left w:val="none" w:sz="0" w:space="0" w:color="auto"/>
        <w:bottom w:val="none" w:sz="0" w:space="0" w:color="auto"/>
        <w:right w:val="none" w:sz="0" w:space="0" w:color="auto"/>
      </w:divBdr>
      <w:divsChild>
        <w:div w:id="1113984745">
          <w:marLeft w:val="0"/>
          <w:marRight w:val="0"/>
          <w:marTop w:val="0"/>
          <w:marBottom w:val="0"/>
          <w:divBdr>
            <w:top w:val="none" w:sz="0" w:space="0" w:color="auto"/>
            <w:left w:val="none" w:sz="0" w:space="0" w:color="auto"/>
            <w:bottom w:val="none" w:sz="0" w:space="0" w:color="auto"/>
            <w:right w:val="none" w:sz="0" w:space="0" w:color="auto"/>
          </w:divBdr>
        </w:div>
      </w:divsChild>
    </w:div>
    <w:div w:id="152647570">
      <w:bodyDiv w:val="1"/>
      <w:marLeft w:val="0"/>
      <w:marRight w:val="0"/>
      <w:marTop w:val="0"/>
      <w:marBottom w:val="0"/>
      <w:divBdr>
        <w:top w:val="none" w:sz="0" w:space="0" w:color="auto"/>
        <w:left w:val="none" w:sz="0" w:space="0" w:color="auto"/>
        <w:bottom w:val="none" w:sz="0" w:space="0" w:color="auto"/>
        <w:right w:val="none" w:sz="0" w:space="0" w:color="auto"/>
      </w:divBdr>
    </w:div>
    <w:div w:id="336739700">
      <w:bodyDiv w:val="1"/>
      <w:marLeft w:val="0"/>
      <w:marRight w:val="0"/>
      <w:marTop w:val="0"/>
      <w:marBottom w:val="0"/>
      <w:divBdr>
        <w:top w:val="none" w:sz="0" w:space="0" w:color="auto"/>
        <w:left w:val="none" w:sz="0" w:space="0" w:color="auto"/>
        <w:bottom w:val="none" w:sz="0" w:space="0" w:color="auto"/>
        <w:right w:val="none" w:sz="0" w:space="0" w:color="auto"/>
      </w:divBdr>
      <w:divsChild>
        <w:div w:id="1814365622">
          <w:marLeft w:val="0"/>
          <w:marRight w:val="0"/>
          <w:marTop w:val="0"/>
          <w:marBottom w:val="0"/>
          <w:divBdr>
            <w:top w:val="none" w:sz="0" w:space="0" w:color="auto"/>
            <w:left w:val="none" w:sz="0" w:space="0" w:color="auto"/>
            <w:bottom w:val="none" w:sz="0" w:space="0" w:color="auto"/>
            <w:right w:val="none" w:sz="0" w:space="0" w:color="auto"/>
          </w:divBdr>
        </w:div>
      </w:divsChild>
    </w:div>
    <w:div w:id="823206490">
      <w:bodyDiv w:val="1"/>
      <w:marLeft w:val="0"/>
      <w:marRight w:val="0"/>
      <w:marTop w:val="0"/>
      <w:marBottom w:val="0"/>
      <w:divBdr>
        <w:top w:val="none" w:sz="0" w:space="0" w:color="auto"/>
        <w:left w:val="none" w:sz="0" w:space="0" w:color="auto"/>
        <w:bottom w:val="none" w:sz="0" w:space="0" w:color="auto"/>
        <w:right w:val="none" w:sz="0" w:space="0" w:color="auto"/>
      </w:divBdr>
    </w:div>
    <w:div w:id="1022976953">
      <w:bodyDiv w:val="1"/>
      <w:marLeft w:val="0"/>
      <w:marRight w:val="0"/>
      <w:marTop w:val="0"/>
      <w:marBottom w:val="0"/>
      <w:divBdr>
        <w:top w:val="none" w:sz="0" w:space="0" w:color="auto"/>
        <w:left w:val="none" w:sz="0" w:space="0" w:color="auto"/>
        <w:bottom w:val="none" w:sz="0" w:space="0" w:color="auto"/>
        <w:right w:val="none" w:sz="0" w:space="0" w:color="auto"/>
      </w:divBdr>
    </w:div>
    <w:div w:id="1103956066">
      <w:bodyDiv w:val="1"/>
      <w:marLeft w:val="0"/>
      <w:marRight w:val="0"/>
      <w:marTop w:val="0"/>
      <w:marBottom w:val="0"/>
      <w:divBdr>
        <w:top w:val="none" w:sz="0" w:space="0" w:color="auto"/>
        <w:left w:val="none" w:sz="0" w:space="0" w:color="auto"/>
        <w:bottom w:val="none" w:sz="0" w:space="0" w:color="auto"/>
        <w:right w:val="none" w:sz="0" w:space="0" w:color="auto"/>
      </w:divBdr>
      <w:divsChild>
        <w:div w:id="340744497">
          <w:marLeft w:val="0"/>
          <w:marRight w:val="0"/>
          <w:marTop w:val="200"/>
          <w:marBottom w:val="200"/>
          <w:divBdr>
            <w:top w:val="none" w:sz="0" w:space="0" w:color="auto"/>
            <w:left w:val="none" w:sz="0" w:space="0" w:color="auto"/>
            <w:bottom w:val="none" w:sz="0" w:space="0" w:color="auto"/>
            <w:right w:val="none" w:sz="0" w:space="0" w:color="auto"/>
          </w:divBdr>
        </w:div>
        <w:div w:id="774790459">
          <w:marLeft w:val="0"/>
          <w:marRight w:val="0"/>
          <w:marTop w:val="0"/>
          <w:marBottom w:val="0"/>
          <w:divBdr>
            <w:top w:val="none" w:sz="0" w:space="0" w:color="auto"/>
            <w:left w:val="none" w:sz="0" w:space="0" w:color="auto"/>
            <w:bottom w:val="none" w:sz="0" w:space="0" w:color="auto"/>
            <w:right w:val="none" w:sz="0" w:space="0" w:color="auto"/>
          </w:divBdr>
        </w:div>
      </w:divsChild>
    </w:div>
    <w:div w:id="1226375585">
      <w:bodyDiv w:val="1"/>
      <w:marLeft w:val="0"/>
      <w:marRight w:val="0"/>
      <w:marTop w:val="0"/>
      <w:marBottom w:val="0"/>
      <w:divBdr>
        <w:top w:val="none" w:sz="0" w:space="0" w:color="auto"/>
        <w:left w:val="none" w:sz="0" w:space="0" w:color="auto"/>
        <w:bottom w:val="none" w:sz="0" w:space="0" w:color="auto"/>
        <w:right w:val="none" w:sz="0" w:space="0" w:color="auto"/>
      </w:divBdr>
    </w:div>
    <w:div w:id="1263565391">
      <w:bodyDiv w:val="1"/>
      <w:marLeft w:val="0"/>
      <w:marRight w:val="0"/>
      <w:marTop w:val="0"/>
      <w:marBottom w:val="0"/>
      <w:divBdr>
        <w:top w:val="none" w:sz="0" w:space="0" w:color="auto"/>
        <w:left w:val="none" w:sz="0" w:space="0" w:color="auto"/>
        <w:bottom w:val="none" w:sz="0" w:space="0" w:color="auto"/>
        <w:right w:val="none" w:sz="0" w:space="0" w:color="auto"/>
      </w:divBdr>
      <w:divsChild>
        <w:div w:id="1069885998">
          <w:marLeft w:val="0"/>
          <w:marRight w:val="0"/>
          <w:marTop w:val="200"/>
          <w:marBottom w:val="200"/>
          <w:divBdr>
            <w:top w:val="none" w:sz="0" w:space="0" w:color="auto"/>
            <w:left w:val="none" w:sz="0" w:space="0" w:color="auto"/>
            <w:bottom w:val="none" w:sz="0" w:space="0" w:color="auto"/>
            <w:right w:val="none" w:sz="0" w:space="0" w:color="auto"/>
          </w:divBdr>
        </w:div>
        <w:div w:id="816334855">
          <w:marLeft w:val="0"/>
          <w:marRight w:val="0"/>
          <w:marTop w:val="0"/>
          <w:marBottom w:val="0"/>
          <w:divBdr>
            <w:top w:val="none" w:sz="0" w:space="0" w:color="auto"/>
            <w:left w:val="none" w:sz="0" w:space="0" w:color="auto"/>
            <w:bottom w:val="none" w:sz="0" w:space="0" w:color="auto"/>
            <w:right w:val="none" w:sz="0" w:space="0" w:color="auto"/>
          </w:divBdr>
        </w:div>
      </w:divsChild>
    </w:div>
    <w:div w:id="1270507415">
      <w:bodyDiv w:val="1"/>
      <w:marLeft w:val="0"/>
      <w:marRight w:val="0"/>
      <w:marTop w:val="0"/>
      <w:marBottom w:val="0"/>
      <w:divBdr>
        <w:top w:val="none" w:sz="0" w:space="0" w:color="auto"/>
        <w:left w:val="none" w:sz="0" w:space="0" w:color="auto"/>
        <w:bottom w:val="none" w:sz="0" w:space="0" w:color="auto"/>
        <w:right w:val="none" w:sz="0" w:space="0" w:color="auto"/>
      </w:divBdr>
    </w:div>
    <w:div w:id="1288317650">
      <w:bodyDiv w:val="1"/>
      <w:marLeft w:val="0"/>
      <w:marRight w:val="0"/>
      <w:marTop w:val="0"/>
      <w:marBottom w:val="0"/>
      <w:divBdr>
        <w:top w:val="none" w:sz="0" w:space="0" w:color="auto"/>
        <w:left w:val="none" w:sz="0" w:space="0" w:color="auto"/>
        <w:bottom w:val="none" w:sz="0" w:space="0" w:color="auto"/>
        <w:right w:val="none" w:sz="0" w:space="0" w:color="auto"/>
      </w:divBdr>
    </w:div>
    <w:div w:id="1350451912">
      <w:bodyDiv w:val="1"/>
      <w:marLeft w:val="0"/>
      <w:marRight w:val="0"/>
      <w:marTop w:val="0"/>
      <w:marBottom w:val="0"/>
      <w:divBdr>
        <w:top w:val="none" w:sz="0" w:space="0" w:color="auto"/>
        <w:left w:val="none" w:sz="0" w:space="0" w:color="auto"/>
        <w:bottom w:val="none" w:sz="0" w:space="0" w:color="auto"/>
        <w:right w:val="none" w:sz="0" w:space="0" w:color="auto"/>
      </w:divBdr>
    </w:div>
    <w:div w:id="1376539951">
      <w:bodyDiv w:val="1"/>
      <w:marLeft w:val="0"/>
      <w:marRight w:val="0"/>
      <w:marTop w:val="0"/>
      <w:marBottom w:val="0"/>
      <w:divBdr>
        <w:top w:val="none" w:sz="0" w:space="0" w:color="auto"/>
        <w:left w:val="none" w:sz="0" w:space="0" w:color="auto"/>
        <w:bottom w:val="none" w:sz="0" w:space="0" w:color="auto"/>
        <w:right w:val="none" w:sz="0" w:space="0" w:color="auto"/>
      </w:divBdr>
    </w:div>
    <w:div w:id="1396394523">
      <w:bodyDiv w:val="1"/>
      <w:marLeft w:val="0"/>
      <w:marRight w:val="0"/>
      <w:marTop w:val="0"/>
      <w:marBottom w:val="0"/>
      <w:divBdr>
        <w:top w:val="none" w:sz="0" w:space="0" w:color="auto"/>
        <w:left w:val="none" w:sz="0" w:space="0" w:color="auto"/>
        <w:bottom w:val="none" w:sz="0" w:space="0" w:color="auto"/>
        <w:right w:val="none" w:sz="0" w:space="0" w:color="auto"/>
      </w:divBdr>
    </w:div>
    <w:div w:id="1436944350">
      <w:bodyDiv w:val="1"/>
      <w:marLeft w:val="0"/>
      <w:marRight w:val="0"/>
      <w:marTop w:val="0"/>
      <w:marBottom w:val="0"/>
      <w:divBdr>
        <w:top w:val="none" w:sz="0" w:space="0" w:color="auto"/>
        <w:left w:val="none" w:sz="0" w:space="0" w:color="auto"/>
        <w:bottom w:val="none" w:sz="0" w:space="0" w:color="auto"/>
        <w:right w:val="none" w:sz="0" w:space="0" w:color="auto"/>
      </w:divBdr>
    </w:div>
    <w:div w:id="1964071326">
      <w:bodyDiv w:val="1"/>
      <w:marLeft w:val="0"/>
      <w:marRight w:val="0"/>
      <w:marTop w:val="0"/>
      <w:marBottom w:val="0"/>
      <w:divBdr>
        <w:top w:val="none" w:sz="0" w:space="0" w:color="auto"/>
        <w:left w:val="none" w:sz="0" w:space="0" w:color="auto"/>
        <w:bottom w:val="none" w:sz="0" w:space="0" w:color="auto"/>
        <w:right w:val="none" w:sz="0" w:space="0" w:color="auto"/>
      </w:divBdr>
    </w:div>
    <w:div w:id="2115199354">
      <w:bodyDiv w:val="1"/>
      <w:marLeft w:val="0"/>
      <w:marRight w:val="0"/>
      <w:marTop w:val="0"/>
      <w:marBottom w:val="0"/>
      <w:divBdr>
        <w:top w:val="none" w:sz="0" w:space="0" w:color="auto"/>
        <w:left w:val="none" w:sz="0" w:space="0" w:color="auto"/>
        <w:bottom w:val="none" w:sz="0" w:space="0" w:color="auto"/>
        <w:right w:val="none" w:sz="0" w:space="0" w:color="auto"/>
      </w:divBdr>
      <w:divsChild>
        <w:div w:id="57890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1099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saimg.nhs.uk/IVGuideDisplay.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icines.org.uk/emc/product/1795/sm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cg17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7386-5EA6-4AAD-AB0A-E6A5CFDC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Jessica</dc:creator>
  <cp:keywords/>
  <dc:description/>
  <cp:lastModifiedBy>Clague, Suzie</cp:lastModifiedBy>
  <cp:revision>12</cp:revision>
  <dcterms:created xsi:type="dcterms:W3CDTF">2023-08-25T14:15:00Z</dcterms:created>
  <dcterms:modified xsi:type="dcterms:W3CDTF">2023-11-16T10:02:00Z</dcterms:modified>
</cp:coreProperties>
</file>